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3F4" w:rsidRDefault="008B7353" w:rsidP="00FE33F4">
      <w:pPr>
        <w:pBdr>
          <w:top w:val="single" w:sz="4" w:space="1" w:color="auto"/>
          <w:left w:val="single" w:sz="4" w:space="4" w:color="auto"/>
          <w:bottom w:val="single" w:sz="4" w:space="1" w:color="auto"/>
          <w:right w:val="single" w:sz="4" w:space="4" w:color="auto"/>
        </w:pBdr>
        <w:jc w:val="center"/>
        <w:rPr>
          <w:b/>
          <w:sz w:val="28"/>
          <w:szCs w:val="28"/>
        </w:rPr>
      </w:pPr>
      <w:r w:rsidRPr="008B7353">
        <w:rPr>
          <w:b/>
          <w:sz w:val="28"/>
          <w:szCs w:val="28"/>
        </w:rPr>
        <w:t xml:space="preserve">Correction DM </w:t>
      </w:r>
      <w:r w:rsidR="001B4F76">
        <w:rPr>
          <w:b/>
          <w:sz w:val="28"/>
          <w:szCs w:val="28"/>
        </w:rPr>
        <w:t>-</w:t>
      </w:r>
      <w:r w:rsidRPr="008B7353">
        <w:rPr>
          <w:b/>
          <w:sz w:val="28"/>
          <w:szCs w:val="28"/>
        </w:rPr>
        <w:t> </w:t>
      </w:r>
      <w:r w:rsidR="001B4F76">
        <w:rPr>
          <w:b/>
          <w:sz w:val="28"/>
          <w:szCs w:val="28"/>
        </w:rPr>
        <w:t>La trisomie 21 et ses complications</w:t>
      </w:r>
    </w:p>
    <w:p w:rsidR="00FE33F4" w:rsidRPr="00744BD2" w:rsidRDefault="00FE33F4" w:rsidP="004D627A">
      <w:pPr>
        <w:tabs>
          <w:tab w:val="left" w:pos="1200"/>
        </w:tabs>
        <w:spacing w:line="264" w:lineRule="auto"/>
        <w:rPr>
          <w:b/>
          <w:sz w:val="24"/>
          <w:szCs w:val="24"/>
          <w:u w:val="single"/>
        </w:rPr>
      </w:pPr>
      <w:r w:rsidRPr="00744BD2">
        <w:rPr>
          <w:b/>
          <w:sz w:val="24"/>
          <w:szCs w:val="24"/>
          <w:u w:val="single"/>
        </w:rPr>
        <w:t>Partie 1A : Dépistage prénatal de la trisomie 21</w:t>
      </w:r>
    </w:p>
    <w:p w:rsidR="0081672C" w:rsidRDefault="00FE33F4" w:rsidP="00057715">
      <w:pPr>
        <w:spacing w:after="120" w:line="264" w:lineRule="auto"/>
      </w:pPr>
      <w:r w:rsidRPr="00744BD2">
        <w:rPr>
          <w:b/>
          <w:u w:val="single"/>
        </w:rPr>
        <w:t>1A.1</w:t>
      </w:r>
      <w:r w:rsidRPr="00744BD2">
        <w:rPr>
          <w:b/>
        </w:rPr>
        <w:t>.</w:t>
      </w:r>
      <w:r>
        <w:t xml:space="preserve"> Proposer une définition des </w:t>
      </w:r>
      <w:r w:rsidR="00744BD2">
        <w:t>cinq</w:t>
      </w:r>
      <w:r>
        <w:t xml:space="preserve"> termes en caractères gras</w:t>
      </w:r>
    </w:p>
    <w:p w:rsidR="00FE33F4" w:rsidRPr="00744BD2" w:rsidRDefault="00FE33F4" w:rsidP="004D627A">
      <w:pPr>
        <w:pStyle w:val="ListParagraph"/>
        <w:numPr>
          <w:ilvl w:val="0"/>
          <w:numId w:val="1"/>
        </w:numPr>
        <w:spacing w:after="0" w:line="264" w:lineRule="auto"/>
        <w:rPr>
          <w:rFonts w:cstheme="minorHAnsi"/>
          <w:color w:val="000000" w:themeColor="text1"/>
        </w:rPr>
      </w:pPr>
      <w:r w:rsidRPr="00744BD2">
        <w:rPr>
          <w:rFonts w:cstheme="minorHAnsi"/>
          <w:color w:val="000000" w:themeColor="text1"/>
        </w:rPr>
        <w:t>Trisomie =</w:t>
      </w:r>
      <w:r w:rsidR="00744BD2" w:rsidRPr="00744BD2">
        <w:rPr>
          <w:rFonts w:cstheme="minorHAnsi"/>
          <w:color w:val="000000" w:themeColor="text1"/>
        </w:rPr>
        <w:t xml:space="preserve"> présence d’un chromosome surnuméraire dans une paire de chromosomes</w:t>
      </w:r>
    </w:p>
    <w:p w:rsidR="00FE33F4" w:rsidRPr="00744BD2" w:rsidRDefault="00FE33F4" w:rsidP="004D627A">
      <w:pPr>
        <w:pStyle w:val="ListParagraph"/>
        <w:numPr>
          <w:ilvl w:val="0"/>
          <w:numId w:val="1"/>
        </w:numPr>
        <w:spacing w:after="0" w:line="264" w:lineRule="auto"/>
        <w:rPr>
          <w:rFonts w:cstheme="minorHAnsi"/>
          <w:color w:val="000000" w:themeColor="text1"/>
        </w:rPr>
      </w:pPr>
      <w:r w:rsidRPr="00744BD2">
        <w:rPr>
          <w:rFonts w:cstheme="minorHAnsi"/>
          <w:color w:val="000000" w:themeColor="text1"/>
        </w:rPr>
        <w:t>Caryotype =</w:t>
      </w:r>
      <w:r w:rsidR="00744BD2" w:rsidRPr="00744BD2">
        <w:rPr>
          <w:rFonts w:cstheme="minorHAnsi"/>
          <w:color w:val="000000" w:themeColor="text1"/>
          <w:shd w:val="clear" w:color="auto" w:fill="FFFFFF"/>
        </w:rPr>
        <w:t xml:space="preserve"> </w:t>
      </w:r>
      <w:r w:rsidR="00744BD2">
        <w:rPr>
          <w:rFonts w:cstheme="minorHAnsi"/>
          <w:color w:val="000000" w:themeColor="text1"/>
          <w:shd w:val="clear" w:color="auto" w:fill="FFFFFF"/>
        </w:rPr>
        <w:t xml:space="preserve">Le caryotype </w:t>
      </w:r>
      <w:r w:rsidR="00744BD2" w:rsidRPr="00744BD2">
        <w:rPr>
          <w:rFonts w:cstheme="minorHAnsi"/>
          <w:color w:val="000000" w:themeColor="text1"/>
          <w:shd w:val="clear" w:color="auto" w:fill="FFFFFF"/>
        </w:rPr>
        <w:t>représentation, sous forme de photographie, de l'ensemble des chromosomes d'une cellule, classés par paire et selon la taille. Il permet ainsi de dépister d'éventuelles anomalies chromosomiques.</w:t>
      </w:r>
    </w:p>
    <w:p w:rsidR="00FE33F4" w:rsidRPr="00744BD2" w:rsidRDefault="00FE33F4" w:rsidP="004D627A">
      <w:pPr>
        <w:pStyle w:val="ListParagraph"/>
        <w:numPr>
          <w:ilvl w:val="0"/>
          <w:numId w:val="1"/>
        </w:numPr>
        <w:spacing w:after="0" w:line="264" w:lineRule="auto"/>
        <w:rPr>
          <w:rFonts w:cstheme="minorHAnsi"/>
          <w:color w:val="000000" w:themeColor="text1"/>
        </w:rPr>
      </w:pPr>
      <w:r w:rsidRPr="00744BD2">
        <w:rPr>
          <w:rFonts w:cstheme="minorHAnsi"/>
          <w:color w:val="000000" w:themeColor="text1"/>
        </w:rPr>
        <w:t>Amniocentèse =</w:t>
      </w:r>
      <w:r w:rsidR="00744BD2" w:rsidRPr="00744BD2">
        <w:rPr>
          <w:rFonts w:cstheme="minorHAnsi"/>
          <w:color w:val="000000" w:themeColor="text1"/>
        </w:rPr>
        <w:t xml:space="preserve"> </w:t>
      </w:r>
      <w:proofErr w:type="spellStart"/>
      <w:r w:rsidR="00744BD2" w:rsidRPr="00744BD2">
        <w:rPr>
          <w:rFonts w:cstheme="minorHAnsi"/>
          <w:color w:val="000000" w:themeColor="text1"/>
        </w:rPr>
        <w:t>Amnio</w:t>
      </w:r>
      <w:proofErr w:type="spellEnd"/>
      <w:r w:rsidR="00744BD2" w:rsidRPr="00744BD2">
        <w:rPr>
          <w:rFonts w:cstheme="minorHAnsi"/>
          <w:color w:val="000000" w:themeColor="text1"/>
        </w:rPr>
        <w:t>/</w:t>
      </w:r>
      <w:proofErr w:type="spellStart"/>
      <w:r w:rsidR="00744BD2" w:rsidRPr="00744BD2">
        <w:rPr>
          <w:rFonts w:cstheme="minorHAnsi"/>
          <w:color w:val="000000" w:themeColor="text1"/>
        </w:rPr>
        <w:t>centèse</w:t>
      </w:r>
      <w:proofErr w:type="spellEnd"/>
      <w:r w:rsidR="00744BD2" w:rsidRPr="00744BD2">
        <w:rPr>
          <w:rFonts w:cstheme="minorHAnsi"/>
          <w:color w:val="000000" w:themeColor="text1"/>
        </w:rPr>
        <w:t> : Ponction de liquide amniotique, par voie abdominale, sous contrôle échographique.</w:t>
      </w:r>
      <w:r w:rsidR="00744BD2" w:rsidRPr="00744BD2">
        <w:rPr>
          <w:rFonts w:cstheme="minorHAnsi"/>
          <w:color w:val="000000" w:themeColor="text1"/>
        </w:rPr>
        <w:br/>
        <w:t>-</w:t>
      </w:r>
      <w:proofErr w:type="spellStart"/>
      <w:r w:rsidR="00744BD2" w:rsidRPr="00744BD2">
        <w:rPr>
          <w:rFonts w:cstheme="minorHAnsi"/>
          <w:color w:val="000000" w:themeColor="text1"/>
        </w:rPr>
        <w:t>centèse</w:t>
      </w:r>
      <w:proofErr w:type="spellEnd"/>
      <w:r w:rsidR="00744BD2" w:rsidRPr="00744BD2">
        <w:rPr>
          <w:rFonts w:cstheme="minorHAnsi"/>
          <w:color w:val="000000" w:themeColor="text1"/>
        </w:rPr>
        <w:t> </w:t>
      </w:r>
      <w:r w:rsidR="00744BD2">
        <w:rPr>
          <w:rFonts w:cstheme="minorHAnsi"/>
          <w:color w:val="000000" w:themeColor="text1"/>
        </w:rPr>
        <w:t>= piquer, ponctionner</w:t>
      </w:r>
    </w:p>
    <w:p w:rsidR="00FE33F4" w:rsidRPr="00744BD2" w:rsidRDefault="00FE33F4" w:rsidP="004D627A">
      <w:pPr>
        <w:pStyle w:val="ListParagraph"/>
        <w:numPr>
          <w:ilvl w:val="0"/>
          <w:numId w:val="1"/>
        </w:numPr>
        <w:spacing w:after="0" w:line="264" w:lineRule="auto"/>
        <w:rPr>
          <w:rFonts w:cstheme="minorHAnsi"/>
          <w:color w:val="000000" w:themeColor="text1"/>
        </w:rPr>
      </w:pPr>
      <w:r w:rsidRPr="00744BD2">
        <w:rPr>
          <w:rFonts w:cstheme="minorHAnsi"/>
          <w:color w:val="000000" w:themeColor="text1"/>
        </w:rPr>
        <w:t>Aménorrhées =</w:t>
      </w:r>
      <w:r w:rsidR="00744BD2" w:rsidRPr="00744BD2">
        <w:rPr>
          <w:rFonts w:cstheme="minorHAnsi"/>
          <w:color w:val="000000" w:themeColor="text1"/>
        </w:rPr>
        <w:t xml:space="preserve"> A/</w:t>
      </w:r>
      <w:proofErr w:type="spellStart"/>
      <w:r w:rsidR="00744BD2" w:rsidRPr="00744BD2">
        <w:rPr>
          <w:rFonts w:cstheme="minorHAnsi"/>
          <w:color w:val="000000" w:themeColor="text1"/>
        </w:rPr>
        <w:t>méno</w:t>
      </w:r>
      <w:proofErr w:type="spellEnd"/>
      <w:r w:rsidR="00744BD2" w:rsidRPr="00744BD2">
        <w:rPr>
          <w:rFonts w:cstheme="minorHAnsi"/>
          <w:color w:val="000000" w:themeColor="text1"/>
        </w:rPr>
        <w:t>/</w:t>
      </w:r>
      <w:proofErr w:type="spellStart"/>
      <w:r w:rsidR="00744BD2" w:rsidRPr="00744BD2">
        <w:rPr>
          <w:rFonts w:cstheme="minorHAnsi"/>
          <w:color w:val="000000" w:themeColor="text1"/>
        </w:rPr>
        <w:t>rrhée</w:t>
      </w:r>
      <w:proofErr w:type="spellEnd"/>
      <w:r w:rsidR="00744BD2" w:rsidRPr="00744BD2">
        <w:rPr>
          <w:rFonts w:cstheme="minorHAnsi"/>
          <w:color w:val="000000" w:themeColor="text1"/>
        </w:rPr>
        <w:t> : Absence de règles chez une femme en âge d’être réglée.</w:t>
      </w:r>
      <w:r w:rsidR="00744BD2">
        <w:rPr>
          <w:rFonts w:cstheme="minorHAnsi"/>
          <w:color w:val="000000" w:themeColor="text1"/>
        </w:rPr>
        <w:br/>
        <w:t>a = sans</w:t>
      </w:r>
      <w:r w:rsidR="00744BD2">
        <w:rPr>
          <w:rFonts w:cstheme="minorHAnsi"/>
          <w:color w:val="000000" w:themeColor="text1"/>
        </w:rPr>
        <w:br/>
      </w:r>
      <w:proofErr w:type="spellStart"/>
      <w:r w:rsidR="00744BD2">
        <w:rPr>
          <w:rFonts w:cstheme="minorHAnsi"/>
          <w:color w:val="000000" w:themeColor="text1"/>
        </w:rPr>
        <w:t>m</w:t>
      </w:r>
      <w:r w:rsidR="00744BD2" w:rsidRPr="00744BD2">
        <w:rPr>
          <w:rFonts w:cstheme="minorHAnsi"/>
          <w:color w:val="000000" w:themeColor="text1"/>
        </w:rPr>
        <w:t>én</w:t>
      </w:r>
      <w:proofErr w:type="spellEnd"/>
      <w:r w:rsidR="00744BD2" w:rsidRPr="00744BD2">
        <w:rPr>
          <w:rFonts w:cstheme="minorHAnsi"/>
          <w:color w:val="000000" w:themeColor="text1"/>
        </w:rPr>
        <w:t>(o)</w:t>
      </w:r>
      <w:r w:rsidR="00744BD2">
        <w:rPr>
          <w:rFonts w:cstheme="minorHAnsi"/>
          <w:color w:val="000000" w:themeColor="text1"/>
        </w:rPr>
        <w:t xml:space="preserve"> = mois</w:t>
      </w:r>
      <w:r w:rsidR="00744BD2">
        <w:rPr>
          <w:rFonts w:cstheme="minorHAnsi"/>
          <w:color w:val="000000" w:themeColor="text1"/>
        </w:rPr>
        <w:br/>
        <w:t>-</w:t>
      </w:r>
      <w:proofErr w:type="spellStart"/>
      <w:r w:rsidR="00744BD2">
        <w:rPr>
          <w:rFonts w:cstheme="minorHAnsi"/>
          <w:color w:val="000000" w:themeColor="text1"/>
        </w:rPr>
        <w:t>rrhée</w:t>
      </w:r>
      <w:proofErr w:type="spellEnd"/>
      <w:r w:rsidR="00744BD2">
        <w:rPr>
          <w:rFonts w:cstheme="minorHAnsi"/>
          <w:color w:val="000000" w:themeColor="text1"/>
        </w:rPr>
        <w:t> = écoulement</w:t>
      </w:r>
    </w:p>
    <w:p w:rsidR="00744BD2" w:rsidRPr="00744BD2" w:rsidRDefault="00FE33F4" w:rsidP="004D627A">
      <w:pPr>
        <w:pStyle w:val="ListParagraph"/>
        <w:numPr>
          <w:ilvl w:val="0"/>
          <w:numId w:val="1"/>
        </w:numPr>
        <w:spacing w:line="264" w:lineRule="auto"/>
        <w:rPr>
          <w:rFonts w:cstheme="minorHAnsi"/>
          <w:color w:val="000000" w:themeColor="text1"/>
        </w:rPr>
      </w:pPr>
      <w:r w:rsidRPr="00744BD2">
        <w:rPr>
          <w:rFonts w:cstheme="minorHAnsi"/>
          <w:color w:val="000000" w:themeColor="text1"/>
        </w:rPr>
        <w:t>Gynécologue =</w:t>
      </w:r>
      <w:r w:rsidR="00744BD2" w:rsidRPr="00744BD2">
        <w:rPr>
          <w:rFonts w:cstheme="minorHAnsi"/>
          <w:color w:val="000000" w:themeColor="text1"/>
        </w:rPr>
        <w:t xml:space="preserve"> Gynéco/</w:t>
      </w:r>
      <w:proofErr w:type="spellStart"/>
      <w:r w:rsidR="00744BD2" w:rsidRPr="00744BD2">
        <w:rPr>
          <w:rFonts w:cstheme="minorHAnsi"/>
          <w:color w:val="000000" w:themeColor="text1"/>
        </w:rPr>
        <w:t>logie</w:t>
      </w:r>
      <w:proofErr w:type="spellEnd"/>
      <w:r w:rsidR="00744BD2" w:rsidRPr="00744BD2">
        <w:rPr>
          <w:rFonts w:cstheme="minorHAnsi"/>
          <w:color w:val="000000" w:themeColor="text1"/>
        </w:rPr>
        <w:t> : Spécialité médicale relative à l’appareil génital féminin et ses maladies</w:t>
      </w:r>
      <w:r w:rsidR="00744BD2">
        <w:rPr>
          <w:rFonts w:cstheme="minorHAnsi"/>
          <w:color w:val="000000" w:themeColor="text1"/>
        </w:rPr>
        <w:br/>
      </w:r>
      <w:proofErr w:type="spellStart"/>
      <w:r w:rsidR="00744BD2">
        <w:rPr>
          <w:rFonts w:cstheme="minorHAnsi"/>
          <w:color w:val="000000" w:themeColor="text1"/>
        </w:rPr>
        <w:t>g</w:t>
      </w:r>
      <w:r w:rsidR="00744BD2" w:rsidRPr="00744BD2">
        <w:rPr>
          <w:rFonts w:cstheme="minorHAnsi"/>
          <w:color w:val="000000" w:themeColor="text1"/>
        </w:rPr>
        <w:t>ynéc</w:t>
      </w:r>
      <w:proofErr w:type="spellEnd"/>
      <w:r w:rsidR="00744BD2" w:rsidRPr="00744BD2">
        <w:rPr>
          <w:rFonts w:cstheme="minorHAnsi"/>
          <w:color w:val="000000" w:themeColor="text1"/>
        </w:rPr>
        <w:t>(o)</w:t>
      </w:r>
      <w:r w:rsidR="00744BD2">
        <w:rPr>
          <w:rFonts w:cstheme="minorHAnsi"/>
          <w:color w:val="000000" w:themeColor="text1"/>
        </w:rPr>
        <w:t xml:space="preserve"> =</w:t>
      </w:r>
      <w:r w:rsidR="00931C72">
        <w:rPr>
          <w:rFonts w:cstheme="minorHAnsi"/>
          <w:color w:val="000000" w:themeColor="text1"/>
        </w:rPr>
        <w:t xml:space="preserve"> femme</w:t>
      </w:r>
      <w:r w:rsidR="00744BD2">
        <w:rPr>
          <w:rFonts w:cstheme="minorHAnsi"/>
          <w:color w:val="000000" w:themeColor="text1"/>
        </w:rPr>
        <w:br/>
      </w:r>
      <w:proofErr w:type="spellStart"/>
      <w:r w:rsidR="00744BD2">
        <w:rPr>
          <w:rFonts w:cstheme="minorHAnsi"/>
          <w:color w:val="000000" w:themeColor="text1"/>
        </w:rPr>
        <w:t>logie</w:t>
      </w:r>
      <w:proofErr w:type="spellEnd"/>
      <w:r w:rsidR="00744BD2">
        <w:rPr>
          <w:rFonts w:cstheme="minorHAnsi"/>
          <w:color w:val="000000" w:themeColor="text1"/>
        </w:rPr>
        <w:t>  = étude</w:t>
      </w:r>
    </w:p>
    <w:p w:rsidR="00931C72" w:rsidRDefault="00931C72" w:rsidP="004D627A">
      <w:pPr>
        <w:spacing w:after="120" w:line="264" w:lineRule="auto"/>
      </w:pPr>
      <w:r w:rsidRPr="00931C72">
        <w:rPr>
          <w:b/>
          <w:u w:val="single"/>
        </w:rPr>
        <w:t>1A.</w:t>
      </w:r>
      <w:r>
        <w:rPr>
          <w:b/>
          <w:u w:val="single"/>
        </w:rPr>
        <w:t>2</w:t>
      </w:r>
      <w:r w:rsidRPr="00931C72">
        <w:rPr>
          <w:b/>
        </w:rPr>
        <w:t>.</w:t>
      </w:r>
      <w:r>
        <w:t xml:space="preserve"> Déduire des résultats de madame X. et du document 1, le risque, pour son enfant à naître, d’être atteint de trisomie 21.</w:t>
      </w:r>
    </w:p>
    <w:p w:rsidR="00931C72" w:rsidRDefault="00931C72" w:rsidP="004D627A">
      <w:pPr>
        <w:spacing w:before="120" w:after="0" w:line="264" w:lineRule="auto"/>
        <w:jc w:val="both"/>
      </w:pPr>
      <w:r>
        <w:t xml:space="preserve">D’après le document 1A, madame X ayant </w:t>
      </w:r>
      <w:r w:rsidRPr="00927252">
        <w:rPr>
          <w:u w:val="single"/>
        </w:rPr>
        <w:t>38 ans</w:t>
      </w:r>
      <w:r>
        <w:t xml:space="preserve">, sa probabilité de concevoir un enfant atteint de trisomie 21 est de </w:t>
      </w:r>
      <w:r w:rsidRPr="00927252">
        <w:rPr>
          <w:u w:val="single"/>
        </w:rPr>
        <w:t>0,7%</w:t>
      </w:r>
      <w:r>
        <w:t>.</w:t>
      </w:r>
    </w:p>
    <w:p w:rsidR="00931C72" w:rsidRDefault="006D0AF9" w:rsidP="004D627A">
      <w:pPr>
        <w:spacing w:after="0" w:line="264" w:lineRule="auto"/>
        <w:jc w:val="both"/>
      </w:pPr>
      <w:r>
        <w:t>L</w:t>
      </w:r>
      <w:r w:rsidR="00F94041">
        <w:t xml:space="preserve">es dosages réalisés chez madame X révèlent un taux d’hormone </w:t>
      </w:r>
      <w:proofErr w:type="spellStart"/>
      <w:r w:rsidR="00F94041">
        <w:t>gonadotrophique</w:t>
      </w:r>
      <w:proofErr w:type="spellEnd"/>
      <w:r w:rsidR="00F94041">
        <w:t xml:space="preserve"> chorionique (</w:t>
      </w:r>
      <w:r w:rsidR="00F94041">
        <w:rPr>
          <w:rFonts w:cstheme="minorHAnsi"/>
        </w:rPr>
        <w:t>β</w:t>
      </w:r>
      <w:r w:rsidR="00F94041">
        <w:t>-</w:t>
      </w:r>
      <w:proofErr w:type="spellStart"/>
      <w:r w:rsidR="00F94041">
        <w:t>hCG</w:t>
      </w:r>
      <w:proofErr w:type="spellEnd"/>
      <w:r w:rsidR="00F94041">
        <w:t xml:space="preserve">) de </w:t>
      </w:r>
      <w:r w:rsidR="00F94041" w:rsidRPr="00927252">
        <w:rPr>
          <w:u w:val="single"/>
        </w:rPr>
        <w:t>2,3 UA, supérieur à la valeur de référence de 1 UA,</w:t>
      </w:r>
      <w:r w:rsidRPr="00927252">
        <w:rPr>
          <w:u w:val="single"/>
        </w:rPr>
        <w:t xml:space="preserve"> et</w:t>
      </w:r>
      <w:r w:rsidR="00F94041" w:rsidRPr="00927252">
        <w:rPr>
          <w:u w:val="single"/>
        </w:rPr>
        <w:t xml:space="preserve"> signe d’une femme porteuse d’un enfant atteint de trisomie 21</w:t>
      </w:r>
      <w:r>
        <w:t xml:space="preserve"> (document 1B)</w:t>
      </w:r>
      <w:r w:rsidR="00F94041">
        <w:t xml:space="preserve">. </w:t>
      </w:r>
      <w:r>
        <w:t>D’autre part, l</w:t>
      </w:r>
      <w:r w:rsidR="00F94041">
        <w:t>e taux de protéine plasmatique associée à la grossesse (</w:t>
      </w:r>
      <w:proofErr w:type="spellStart"/>
      <w:r w:rsidR="00F94041">
        <w:t>PaPP</w:t>
      </w:r>
      <w:proofErr w:type="spellEnd"/>
      <w:r w:rsidR="00F94041">
        <w:t xml:space="preserve">-A) </w:t>
      </w:r>
      <w:r>
        <w:t xml:space="preserve">est </w:t>
      </w:r>
      <w:r w:rsidR="00F94041">
        <w:t xml:space="preserve">de </w:t>
      </w:r>
      <w:r w:rsidR="00F94041" w:rsidRPr="00927252">
        <w:rPr>
          <w:u w:val="single"/>
        </w:rPr>
        <w:t>0,5 UA</w:t>
      </w:r>
      <w:r w:rsidR="00F94041">
        <w:t xml:space="preserve"> </w:t>
      </w:r>
      <w:r>
        <w:t xml:space="preserve">chez madame X. Ce taux </w:t>
      </w:r>
      <w:r w:rsidR="00F94041">
        <w:t xml:space="preserve">est également inquiétant puisqu’il est </w:t>
      </w:r>
      <w:r w:rsidR="00F94041" w:rsidRPr="00927252">
        <w:rPr>
          <w:u w:val="single"/>
        </w:rPr>
        <w:t>inférieur à la valeur de référence de 1 UA et pourrait également être un signe de trisomie 21</w:t>
      </w:r>
      <w:r w:rsidR="00F94041">
        <w:t xml:space="preserve"> chez l’</w:t>
      </w:r>
      <w:r>
        <w:t>enfant à naî</w:t>
      </w:r>
      <w:r w:rsidR="00F94041">
        <w:t>tre</w:t>
      </w:r>
      <w:r>
        <w:t xml:space="preserve"> (document 1B)</w:t>
      </w:r>
      <w:r w:rsidR="00F94041">
        <w:t>.</w:t>
      </w:r>
    </w:p>
    <w:p w:rsidR="00F94041" w:rsidRDefault="00F94041" w:rsidP="004D627A">
      <w:pPr>
        <w:spacing w:after="0" w:line="264" w:lineRule="auto"/>
        <w:jc w:val="both"/>
      </w:pPr>
      <w:r>
        <w:t xml:space="preserve">Enfin, la clarté nucale de madame X est de </w:t>
      </w:r>
      <w:r w:rsidRPr="00927252">
        <w:rPr>
          <w:u w:val="single"/>
        </w:rPr>
        <w:t>4 mm à 13 semaines d’aménorrhées</w:t>
      </w:r>
      <w:r>
        <w:t xml:space="preserve"> ce qui est </w:t>
      </w:r>
      <w:r w:rsidRPr="00927252">
        <w:rPr>
          <w:u w:val="single"/>
        </w:rPr>
        <w:t>supérieur aux valeurs de référence</w:t>
      </w:r>
      <w:r>
        <w:t xml:space="preserve"> présentées dans le document 1C (entre 1 et 2,5 mm pour 13</w:t>
      </w:r>
      <w:r w:rsidR="006D0AF9" w:rsidRPr="006D0AF9">
        <w:t xml:space="preserve"> </w:t>
      </w:r>
      <w:r w:rsidR="006D0AF9">
        <w:t>semaines d’aménorrhées).</w:t>
      </w:r>
    </w:p>
    <w:p w:rsidR="006D0AF9" w:rsidRDefault="006D0AF9" w:rsidP="004D627A">
      <w:pPr>
        <w:spacing w:after="0" w:line="264" w:lineRule="auto"/>
        <w:jc w:val="both"/>
      </w:pPr>
      <w:r>
        <w:t>En conclusion, les divers examens effectués chez madame X montrent qu’</w:t>
      </w:r>
      <w:r w:rsidRPr="00927252">
        <w:rPr>
          <w:u w:val="single"/>
        </w:rPr>
        <w:t>il existe un risque sérieux pour son enfant à naître d’être atteint de trisomie 21</w:t>
      </w:r>
      <w:r>
        <w:t>.</w:t>
      </w:r>
    </w:p>
    <w:p w:rsidR="00FE33F4" w:rsidRDefault="00FE33F4" w:rsidP="004D627A">
      <w:pPr>
        <w:spacing w:after="0" w:line="264" w:lineRule="auto"/>
      </w:pPr>
    </w:p>
    <w:p w:rsidR="00870980" w:rsidRDefault="00870980" w:rsidP="0063694F">
      <w:pPr>
        <w:spacing w:after="120" w:line="264" w:lineRule="auto"/>
      </w:pPr>
      <w:r w:rsidRPr="00931C72">
        <w:rPr>
          <w:b/>
          <w:u w:val="single"/>
        </w:rPr>
        <w:t>1A.</w:t>
      </w:r>
      <w:r>
        <w:rPr>
          <w:b/>
          <w:u w:val="single"/>
        </w:rPr>
        <w:t>3</w:t>
      </w:r>
      <w:r w:rsidRPr="00931C72">
        <w:rPr>
          <w:b/>
        </w:rPr>
        <w:t>.</w:t>
      </w:r>
      <w:r>
        <w:t xml:space="preserve"> Présenter le principe de l’échographie et son intérêt dans le cadre de l’amniocentèse.</w:t>
      </w:r>
    </w:p>
    <w:p w:rsidR="004D627A" w:rsidRDefault="004D627A" w:rsidP="004D627A">
      <w:pPr>
        <w:spacing w:after="0" w:line="264" w:lineRule="auto"/>
        <w:jc w:val="both"/>
      </w:pPr>
      <w:r>
        <w:t>L’échographie est une technique d’imagerie médicale basée sur l’utilisation d’</w:t>
      </w:r>
      <w:r w:rsidRPr="004D627A">
        <w:rPr>
          <w:u w:val="single"/>
        </w:rPr>
        <w:t>ultrasons</w:t>
      </w:r>
      <w:r>
        <w:t xml:space="preserve">. Les ultrasons sont émis par une sonde à une certaine fréquence vers les régions à examiner. Ces ondes reviennent vers la sonde selon le </w:t>
      </w:r>
      <w:r w:rsidRPr="004D627A">
        <w:rPr>
          <w:u w:val="single"/>
        </w:rPr>
        <w:t>principe de l’écho</w:t>
      </w:r>
      <w:r>
        <w:t xml:space="preserve">. Selon la </w:t>
      </w:r>
      <w:r w:rsidRPr="004D627A">
        <w:rPr>
          <w:u w:val="single"/>
        </w:rPr>
        <w:t>densité des tissus traversés</w:t>
      </w:r>
      <w:r>
        <w:t xml:space="preserve">, leur éloignement par rapport à la sonde, la fréquence des ultrasons est plus ou moins modifiée. Un </w:t>
      </w:r>
      <w:r w:rsidRPr="004D627A">
        <w:rPr>
          <w:u w:val="single"/>
        </w:rPr>
        <w:t>système informatique permet d’obtenir des images en direct</w:t>
      </w:r>
      <w:r>
        <w:t>.</w:t>
      </w:r>
    </w:p>
    <w:p w:rsidR="004D627A" w:rsidRPr="004D627A" w:rsidRDefault="004D627A" w:rsidP="004D627A">
      <w:pPr>
        <w:spacing w:line="264" w:lineRule="auto"/>
        <w:jc w:val="both"/>
      </w:pPr>
      <w:r>
        <w:rPr>
          <w:rFonts w:cstheme="minorHAnsi"/>
          <w:color w:val="000000" w:themeColor="text1"/>
          <w:shd w:val="clear" w:color="auto" w:fill="FFFFFF"/>
        </w:rPr>
        <w:t xml:space="preserve">Dans le cas de l’amniocentèse, </w:t>
      </w:r>
      <w:r w:rsidRPr="004D627A">
        <w:rPr>
          <w:rFonts w:cstheme="minorHAnsi"/>
          <w:color w:val="000000" w:themeColor="text1"/>
          <w:shd w:val="clear" w:color="auto" w:fill="FFFFFF"/>
        </w:rPr>
        <w:t>l'</w:t>
      </w:r>
      <w:r w:rsidRPr="004D627A">
        <w:rPr>
          <w:rFonts w:cstheme="minorHAnsi"/>
          <w:bCs/>
          <w:color w:val="000000" w:themeColor="text1"/>
          <w:shd w:val="clear" w:color="auto" w:fill="FFFFFF"/>
        </w:rPr>
        <w:t>échographie</w:t>
      </w:r>
      <w:r w:rsidRPr="004D627A">
        <w:rPr>
          <w:rFonts w:cstheme="minorHAnsi"/>
          <w:color w:val="000000" w:themeColor="text1"/>
          <w:shd w:val="clear" w:color="auto" w:fill="FFFFFF"/>
        </w:rPr>
        <w:t> </w:t>
      </w:r>
      <w:r w:rsidRPr="004D627A">
        <w:rPr>
          <w:rFonts w:cstheme="minorHAnsi"/>
          <w:color w:val="000000" w:themeColor="text1"/>
          <w:u w:val="single"/>
          <w:shd w:val="clear" w:color="auto" w:fill="FFFFFF"/>
        </w:rPr>
        <w:t>permet au médecin de localiser le fœtus</w:t>
      </w:r>
      <w:r w:rsidRPr="004D627A">
        <w:rPr>
          <w:rFonts w:cstheme="minorHAnsi"/>
          <w:color w:val="000000" w:themeColor="text1"/>
          <w:shd w:val="clear" w:color="auto" w:fill="FFFFFF"/>
        </w:rPr>
        <w:t xml:space="preserve"> à travers le ventre de la mère</w:t>
      </w:r>
      <w:r>
        <w:rPr>
          <w:rFonts w:cstheme="minorHAnsi"/>
          <w:color w:val="000000" w:themeColor="text1"/>
          <w:shd w:val="clear" w:color="auto" w:fill="FFFFFF"/>
        </w:rPr>
        <w:t xml:space="preserve"> pour savoir où effectuer la ponction du liquide amniotique sans toucher le fœtus</w:t>
      </w:r>
      <w:r w:rsidRPr="004D627A">
        <w:rPr>
          <w:rFonts w:cstheme="minorHAnsi"/>
          <w:color w:val="000000" w:themeColor="text1"/>
          <w:shd w:val="clear" w:color="auto" w:fill="FFFFFF"/>
        </w:rPr>
        <w:t>.</w:t>
      </w:r>
    </w:p>
    <w:p w:rsidR="004D627A" w:rsidRDefault="004D627A" w:rsidP="0063694F">
      <w:pPr>
        <w:spacing w:after="0" w:line="264" w:lineRule="auto"/>
      </w:pPr>
      <w:r w:rsidRPr="00931C72">
        <w:rPr>
          <w:b/>
          <w:u w:val="single"/>
        </w:rPr>
        <w:t>1A.</w:t>
      </w:r>
      <w:r w:rsidR="0063694F">
        <w:rPr>
          <w:b/>
          <w:u w:val="single"/>
        </w:rPr>
        <w:t>4</w:t>
      </w:r>
      <w:r w:rsidRPr="00931C72">
        <w:rPr>
          <w:b/>
        </w:rPr>
        <w:t>.</w:t>
      </w:r>
      <w:r>
        <w:t xml:space="preserve"> </w:t>
      </w:r>
      <w:r w:rsidR="0063694F">
        <w:t>Donner la signification du sigle ADN.</w:t>
      </w:r>
    </w:p>
    <w:p w:rsidR="00927252" w:rsidRDefault="0063694F" w:rsidP="0063694F">
      <w:pPr>
        <w:spacing w:before="120" w:after="0" w:line="264" w:lineRule="auto"/>
        <w:rPr>
          <w:rFonts w:cstheme="minorHAnsi"/>
        </w:rPr>
      </w:pPr>
      <w:r w:rsidRPr="0063694F">
        <w:rPr>
          <w:rFonts w:cstheme="minorHAnsi"/>
        </w:rPr>
        <w:t>ADN = acide désoxyribonucléique</w:t>
      </w:r>
    </w:p>
    <w:p w:rsidR="0063694F" w:rsidRDefault="0063694F" w:rsidP="0063694F">
      <w:pPr>
        <w:spacing w:after="0" w:line="264" w:lineRule="auto"/>
        <w:rPr>
          <w:b/>
          <w:u w:val="single"/>
        </w:rPr>
      </w:pPr>
    </w:p>
    <w:p w:rsidR="0063694F" w:rsidRDefault="0063694F" w:rsidP="0063694F">
      <w:pPr>
        <w:spacing w:after="0" w:line="264" w:lineRule="auto"/>
        <w:rPr>
          <w:rFonts w:cstheme="minorHAnsi"/>
        </w:rPr>
      </w:pPr>
      <w:r w:rsidRPr="00931C72">
        <w:rPr>
          <w:b/>
          <w:u w:val="single"/>
        </w:rPr>
        <w:t>1A.</w:t>
      </w:r>
      <w:r>
        <w:rPr>
          <w:b/>
          <w:u w:val="single"/>
        </w:rPr>
        <w:t>5</w:t>
      </w:r>
      <w:r w:rsidRPr="00931C72">
        <w:rPr>
          <w:b/>
        </w:rPr>
        <w:t>.</w:t>
      </w:r>
      <w:r>
        <w:t xml:space="preserve"> Reporter sur la copie les annotations correspondant aux repères 1 à 5 du document 3.</w:t>
      </w:r>
    </w:p>
    <w:p w:rsidR="0063694F" w:rsidRPr="0063694F" w:rsidRDefault="0063694F" w:rsidP="0063694F">
      <w:pPr>
        <w:spacing w:after="0" w:line="264" w:lineRule="auto"/>
        <w:ind w:firstLine="709"/>
        <w:rPr>
          <w:rFonts w:cstheme="minorHAnsi"/>
          <w:sz w:val="12"/>
          <w:szCs w:val="12"/>
        </w:rPr>
        <w:sectPr w:rsidR="0063694F" w:rsidRPr="0063694F" w:rsidSect="008B7353">
          <w:footerReference w:type="default" r:id="rId7"/>
          <w:pgSz w:w="11906" w:h="16838"/>
          <w:pgMar w:top="851" w:right="851" w:bottom="851" w:left="851" w:header="709" w:footer="709" w:gutter="0"/>
          <w:cols w:space="708"/>
          <w:docGrid w:linePitch="360"/>
        </w:sectPr>
      </w:pPr>
    </w:p>
    <w:p w:rsidR="0063694F" w:rsidRDefault="0063694F" w:rsidP="0063694F">
      <w:pPr>
        <w:spacing w:before="120" w:after="0" w:line="264" w:lineRule="auto"/>
        <w:ind w:firstLine="709"/>
        <w:rPr>
          <w:rFonts w:cstheme="minorHAnsi"/>
        </w:rPr>
      </w:pPr>
      <w:r>
        <w:rPr>
          <w:rFonts w:cstheme="minorHAnsi"/>
        </w:rPr>
        <w:lastRenderedPageBreak/>
        <w:t>1 = chromatide</w:t>
      </w:r>
    </w:p>
    <w:p w:rsidR="0063694F" w:rsidRDefault="0063694F" w:rsidP="0063694F">
      <w:pPr>
        <w:spacing w:after="0" w:line="264" w:lineRule="auto"/>
        <w:ind w:firstLine="709"/>
        <w:rPr>
          <w:rFonts w:cstheme="minorHAnsi"/>
        </w:rPr>
      </w:pPr>
      <w:r>
        <w:rPr>
          <w:rFonts w:cstheme="minorHAnsi"/>
        </w:rPr>
        <w:t>2 = acide phosphorique</w:t>
      </w:r>
    </w:p>
    <w:p w:rsidR="00DC1581" w:rsidRDefault="00DC1581" w:rsidP="0063694F">
      <w:pPr>
        <w:spacing w:after="0" w:line="264" w:lineRule="auto"/>
        <w:ind w:firstLine="709"/>
        <w:rPr>
          <w:rFonts w:cstheme="minorHAnsi"/>
          <w:sz w:val="12"/>
          <w:szCs w:val="12"/>
        </w:rPr>
      </w:pPr>
    </w:p>
    <w:p w:rsidR="00DC1581" w:rsidRPr="00DC1581" w:rsidRDefault="00DC1581" w:rsidP="0063694F">
      <w:pPr>
        <w:spacing w:after="0" w:line="264" w:lineRule="auto"/>
        <w:ind w:firstLine="709"/>
        <w:rPr>
          <w:rFonts w:cstheme="minorHAnsi"/>
          <w:sz w:val="12"/>
          <w:szCs w:val="12"/>
        </w:rPr>
      </w:pPr>
    </w:p>
    <w:p w:rsidR="0063694F" w:rsidRDefault="0063694F" w:rsidP="0063694F">
      <w:pPr>
        <w:spacing w:after="0" w:line="264" w:lineRule="auto"/>
        <w:ind w:firstLine="709"/>
        <w:rPr>
          <w:rFonts w:cstheme="minorHAnsi"/>
        </w:rPr>
      </w:pPr>
      <w:r>
        <w:rPr>
          <w:rFonts w:cstheme="minorHAnsi"/>
        </w:rPr>
        <w:t>3 = désoxyribose</w:t>
      </w:r>
    </w:p>
    <w:p w:rsidR="0063694F" w:rsidRDefault="0063694F" w:rsidP="0063694F">
      <w:pPr>
        <w:spacing w:after="0" w:line="264" w:lineRule="auto"/>
        <w:ind w:firstLine="709"/>
        <w:rPr>
          <w:rFonts w:cstheme="minorHAnsi"/>
        </w:rPr>
      </w:pPr>
      <w:r>
        <w:rPr>
          <w:rFonts w:cstheme="minorHAnsi"/>
        </w:rPr>
        <w:t>4 = base azotée</w:t>
      </w:r>
    </w:p>
    <w:p w:rsidR="00DC1581" w:rsidRPr="00DC1581" w:rsidRDefault="00DC1581" w:rsidP="0063694F">
      <w:pPr>
        <w:spacing w:after="0" w:line="264" w:lineRule="auto"/>
        <w:ind w:firstLine="709"/>
        <w:rPr>
          <w:rFonts w:cstheme="minorHAnsi"/>
          <w:sz w:val="12"/>
          <w:szCs w:val="12"/>
        </w:rPr>
      </w:pPr>
    </w:p>
    <w:p w:rsidR="0063694F" w:rsidRPr="0063694F" w:rsidRDefault="0063694F" w:rsidP="0063694F">
      <w:pPr>
        <w:spacing w:after="0" w:line="264" w:lineRule="auto"/>
        <w:ind w:firstLine="709"/>
        <w:rPr>
          <w:rFonts w:cstheme="minorHAnsi"/>
        </w:rPr>
      </w:pPr>
      <w:r>
        <w:rPr>
          <w:rFonts w:cstheme="minorHAnsi"/>
        </w:rPr>
        <w:t>5 = nucléotide</w:t>
      </w:r>
    </w:p>
    <w:p w:rsidR="0063694F" w:rsidRDefault="0063694F" w:rsidP="0063694F">
      <w:pPr>
        <w:spacing w:before="120" w:after="0" w:line="264" w:lineRule="auto"/>
        <w:rPr>
          <w:rFonts w:cstheme="minorHAnsi"/>
        </w:rPr>
        <w:sectPr w:rsidR="0063694F" w:rsidSect="00DC1581">
          <w:type w:val="continuous"/>
          <w:pgSz w:w="11906" w:h="16838"/>
          <w:pgMar w:top="851" w:right="851" w:bottom="851" w:left="851" w:header="709" w:footer="709" w:gutter="0"/>
          <w:cols w:num="3" w:space="708"/>
          <w:docGrid w:linePitch="360"/>
        </w:sectPr>
      </w:pPr>
    </w:p>
    <w:p w:rsidR="00322000" w:rsidRDefault="00322000" w:rsidP="00322000">
      <w:pPr>
        <w:spacing w:after="0" w:line="264" w:lineRule="auto"/>
      </w:pPr>
      <w:r w:rsidRPr="00931C72">
        <w:rPr>
          <w:b/>
          <w:u w:val="single"/>
        </w:rPr>
        <w:lastRenderedPageBreak/>
        <w:t>1A.</w:t>
      </w:r>
      <w:r>
        <w:rPr>
          <w:b/>
          <w:u w:val="single"/>
        </w:rPr>
        <w:t>6</w:t>
      </w:r>
      <w:r w:rsidRPr="00931C72">
        <w:rPr>
          <w:b/>
        </w:rPr>
        <w:t>.</w:t>
      </w:r>
      <w:r>
        <w:t xml:space="preserve"> La molécule d’ADN est dite </w:t>
      </w:r>
      <w:proofErr w:type="spellStart"/>
      <w:r>
        <w:t>bicaténaire</w:t>
      </w:r>
      <w:proofErr w:type="spellEnd"/>
      <w:r>
        <w:t xml:space="preserve"> et hélicoïdale. Justifier cette affirmation.</w:t>
      </w:r>
    </w:p>
    <w:p w:rsidR="00322000" w:rsidRDefault="00322000" w:rsidP="00322000">
      <w:pPr>
        <w:spacing w:before="120" w:after="0" w:line="264" w:lineRule="auto"/>
        <w:rPr>
          <w:rFonts w:cstheme="minorHAnsi"/>
        </w:rPr>
      </w:pPr>
      <w:r>
        <w:rPr>
          <w:rFonts w:cstheme="minorHAnsi"/>
        </w:rPr>
        <w:t xml:space="preserve">La molécule d’ADN est dite </w:t>
      </w:r>
      <w:proofErr w:type="spellStart"/>
      <w:r>
        <w:rPr>
          <w:rFonts w:cstheme="minorHAnsi"/>
        </w:rPr>
        <w:t>bicaténaire</w:t>
      </w:r>
      <w:proofErr w:type="spellEnd"/>
      <w:r>
        <w:rPr>
          <w:rFonts w:cstheme="minorHAnsi"/>
        </w:rPr>
        <w:t xml:space="preserve"> car elle est formée de deux brins antiparallèles enroulés l’un autour de l’autre pour former une double hélice.</w:t>
      </w:r>
    </w:p>
    <w:p w:rsidR="008456DF" w:rsidRDefault="008456DF" w:rsidP="008456DF">
      <w:pPr>
        <w:spacing w:after="0" w:line="264" w:lineRule="auto"/>
        <w:rPr>
          <w:b/>
          <w:u w:val="single"/>
        </w:rPr>
      </w:pPr>
    </w:p>
    <w:p w:rsidR="008456DF" w:rsidRDefault="008456DF" w:rsidP="008456DF">
      <w:pPr>
        <w:spacing w:after="0" w:line="264" w:lineRule="auto"/>
      </w:pPr>
      <w:r w:rsidRPr="00931C72">
        <w:rPr>
          <w:b/>
          <w:u w:val="single"/>
        </w:rPr>
        <w:t>1A.</w:t>
      </w:r>
      <w:r>
        <w:rPr>
          <w:b/>
          <w:u w:val="single"/>
        </w:rPr>
        <w:t>7</w:t>
      </w:r>
      <w:r w:rsidRPr="00931C72">
        <w:rPr>
          <w:b/>
        </w:rPr>
        <w:t>.</w:t>
      </w:r>
      <w:r>
        <w:t xml:space="preserve"> Analyser les variations de la quantité d’ADN au cours du cycle cellulaire. Déduire la phase du cycle durant laquelle a lieu la réplication de l’ADN.</w:t>
      </w:r>
    </w:p>
    <w:p w:rsidR="008456DF" w:rsidRDefault="008456DF" w:rsidP="008456DF">
      <w:pPr>
        <w:spacing w:before="120" w:after="0" w:line="264" w:lineRule="auto"/>
        <w:rPr>
          <w:rFonts w:cstheme="minorHAnsi"/>
        </w:rPr>
      </w:pPr>
      <w:r>
        <w:rPr>
          <w:rFonts w:cstheme="minorHAnsi"/>
        </w:rPr>
        <w:t xml:space="preserve">Le cycle cellulaire se divise en </w:t>
      </w:r>
      <w:r w:rsidR="00B44B18">
        <w:rPr>
          <w:rFonts w:cstheme="minorHAnsi"/>
        </w:rPr>
        <w:t>quatre phases :</w:t>
      </w:r>
    </w:p>
    <w:p w:rsidR="00B44B18" w:rsidRDefault="00B44B18" w:rsidP="00B44B18">
      <w:pPr>
        <w:pStyle w:val="ListParagraph"/>
        <w:numPr>
          <w:ilvl w:val="0"/>
          <w:numId w:val="1"/>
        </w:numPr>
        <w:spacing w:before="120" w:after="0" w:line="264" w:lineRule="auto"/>
        <w:rPr>
          <w:rFonts w:cstheme="minorHAnsi"/>
        </w:rPr>
      </w:pPr>
      <w:r>
        <w:rPr>
          <w:rFonts w:cstheme="minorHAnsi"/>
        </w:rPr>
        <w:t>Lors de la phase G1, la quantité d’ADN reste constante à 1 UA.</w:t>
      </w:r>
    </w:p>
    <w:p w:rsidR="00B44B18" w:rsidRDefault="00B44B18" w:rsidP="00B44B18">
      <w:pPr>
        <w:pStyle w:val="ListParagraph"/>
        <w:numPr>
          <w:ilvl w:val="0"/>
          <w:numId w:val="1"/>
        </w:numPr>
        <w:spacing w:before="120" w:after="0" w:line="264" w:lineRule="auto"/>
        <w:rPr>
          <w:rFonts w:cstheme="minorHAnsi"/>
        </w:rPr>
      </w:pPr>
      <w:r>
        <w:rPr>
          <w:rFonts w:cstheme="minorHAnsi"/>
        </w:rPr>
        <w:t xml:space="preserve">Lors de la phase S on observe une augmentation de la quantité d’ADN qui double de 1 UA à 2UA. </w:t>
      </w:r>
    </w:p>
    <w:p w:rsidR="00B44B18" w:rsidRDefault="00B44B18" w:rsidP="00B44B18">
      <w:pPr>
        <w:pStyle w:val="ListParagraph"/>
        <w:numPr>
          <w:ilvl w:val="0"/>
          <w:numId w:val="1"/>
        </w:numPr>
        <w:spacing w:before="120" w:after="0" w:line="264" w:lineRule="auto"/>
        <w:rPr>
          <w:rFonts w:cstheme="minorHAnsi"/>
        </w:rPr>
      </w:pPr>
      <w:r>
        <w:rPr>
          <w:rFonts w:cstheme="minorHAnsi"/>
        </w:rPr>
        <w:t>Lors de la phase G2, la quantité d’ADN reste constante à 2 UA.</w:t>
      </w:r>
    </w:p>
    <w:p w:rsidR="00B44B18" w:rsidRDefault="00B44B18" w:rsidP="00B44B18">
      <w:pPr>
        <w:pStyle w:val="ListParagraph"/>
        <w:numPr>
          <w:ilvl w:val="0"/>
          <w:numId w:val="1"/>
        </w:numPr>
        <w:spacing w:before="120" w:after="0" w:line="264" w:lineRule="auto"/>
        <w:rPr>
          <w:rFonts w:cstheme="minorHAnsi"/>
        </w:rPr>
      </w:pPr>
      <w:r>
        <w:rPr>
          <w:rFonts w:cstheme="minorHAnsi"/>
        </w:rPr>
        <w:t>Enfin, lors de la phase M ou mitose, la quantité d’ADN diminue et est divisée par deux, passant de 1 UA à 2UA.</w:t>
      </w:r>
    </w:p>
    <w:p w:rsidR="00B44B18" w:rsidRPr="00B44B18" w:rsidRDefault="00B44B18" w:rsidP="00B44B18">
      <w:pPr>
        <w:spacing w:before="120" w:after="0" w:line="264" w:lineRule="auto"/>
        <w:jc w:val="both"/>
        <w:rPr>
          <w:rFonts w:cstheme="minorHAnsi"/>
        </w:rPr>
      </w:pPr>
      <w:r>
        <w:rPr>
          <w:rFonts w:cstheme="minorHAnsi"/>
        </w:rPr>
        <w:t>La phase de réplication de l’ADN correspond donc à la phase S puisqu’elle permet la synthèse d’une copie conforme du matériel génétique qui est donc dupliqué, d’où le doublement de la quantité en ADN lors de cette phase.</w:t>
      </w:r>
    </w:p>
    <w:p w:rsidR="00B44B18" w:rsidRDefault="00B44B18" w:rsidP="00B44B18">
      <w:pPr>
        <w:spacing w:after="0" w:line="264" w:lineRule="auto"/>
        <w:rPr>
          <w:b/>
          <w:u w:val="single"/>
        </w:rPr>
      </w:pPr>
    </w:p>
    <w:p w:rsidR="00B44B18" w:rsidRDefault="00B44B18" w:rsidP="00B44B18">
      <w:pPr>
        <w:spacing w:after="0" w:line="264" w:lineRule="auto"/>
      </w:pPr>
      <w:r w:rsidRPr="00931C72">
        <w:rPr>
          <w:b/>
          <w:u w:val="single"/>
        </w:rPr>
        <w:t>1A.</w:t>
      </w:r>
      <w:r>
        <w:rPr>
          <w:b/>
          <w:u w:val="single"/>
        </w:rPr>
        <w:t>8</w:t>
      </w:r>
      <w:r w:rsidRPr="00931C72">
        <w:rPr>
          <w:b/>
        </w:rPr>
        <w:t>.</w:t>
      </w:r>
      <w:r>
        <w:t xml:space="preserve"> </w:t>
      </w:r>
      <w:r w:rsidR="00827CC3">
        <w:t>Décrire l’aspect de l’ADN au cours du cycle cellulaire.</w:t>
      </w:r>
    </w:p>
    <w:p w:rsidR="00B44B18" w:rsidRDefault="00B44B18" w:rsidP="00B44B18">
      <w:pPr>
        <w:pStyle w:val="ListParagraph"/>
        <w:numPr>
          <w:ilvl w:val="0"/>
          <w:numId w:val="1"/>
        </w:numPr>
        <w:spacing w:before="120" w:after="0" w:line="264" w:lineRule="auto"/>
        <w:rPr>
          <w:rFonts w:cstheme="minorHAnsi"/>
        </w:rPr>
      </w:pPr>
      <w:r>
        <w:rPr>
          <w:rFonts w:cstheme="minorHAnsi"/>
        </w:rPr>
        <w:t xml:space="preserve">Lors de la phase G1, </w:t>
      </w:r>
      <w:r w:rsidR="00827CC3">
        <w:rPr>
          <w:rFonts w:cstheme="minorHAnsi"/>
        </w:rPr>
        <w:t>l’ADN est sous la forme d’une chromatine formée d’un long filament relâché unique.</w:t>
      </w:r>
    </w:p>
    <w:p w:rsidR="00827CC3" w:rsidRDefault="00827CC3" w:rsidP="00B44B18">
      <w:pPr>
        <w:pStyle w:val="ListParagraph"/>
        <w:numPr>
          <w:ilvl w:val="0"/>
          <w:numId w:val="1"/>
        </w:numPr>
        <w:spacing w:before="120" w:after="0" w:line="264" w:lineRule="auto"/>
        <w:rPr>
          <w:rFonts w:cstheme="minorHAnsi"/>
        </w:rPr>
      </w:pPr>
      <w:r>
        <w:rPr>
          <w:rFonts w:cstheme="minorHAnsi"/>
        </w:rPr>
        <w:t>Lors de la phase S, l’ADN est répliqué donc la chromatine passe de un filament à deux filaments relâchés</w:t>
      </w:r>
      <w:r w:rsidR="00BC0934">
        <w:rPr>
          <w:rFonts w:cstheme="minorHAnsi"/>
        </w:rPr>
        <w:t xml:space="preserve"> reliés au niveau du centromère</w:t>
      </w:r>
      <w:r>
        <w:rPr>
          <w:rFonts w:cstheme="minorHAnsi"/>
        </w:rPr>
        <w:t>.</w:t>
      </w:r>
    </w:p>
    <w:p w:rsidR="00B44B18" w:rsidRPr="00827CC3" w:rsidRDefault="00B44B18" w:rsidP="00B44B18">
      <w:pPr>
        <w:pStyle w:val="ListParagraph"/>
        <w:numPr>
          <w:ilvl w:val="0"/>
          <w:numId w:val="1"/>
        </w:numPr>
        <w:spacing w:before="120" w:after="0" w:line="264" w:lineRule="auto"/>
        <w:rPr>
          <w:rFonts w:cstheme="minorHAnsi"/>
        </w:rPr>
      </w:pPr>
      <w:r w:rsidRPr="00827CC3">
        <w:rPr>
          <w:rFonts w:cstheme="minorHAnsi"/>
        </w:rPr>
        <w:t xml:space="preserve">Lors de la phase G2, </w:t>
      </w:r>
      <w:r w:rsidR="00827CC3">
        <w:rPr>
          <w:rFonts w:cstheme="minorHAnsi"/>
        </w:rPr>
        <w:t>la réplication est achevée et la chromatine possède deux filaments relâchés.</w:t>
      </w:r>
    </w:p>
    <w:p w:rsidR="00B44B18" w:rsidRDefault="00B44B18" w:rsidP="00B44B18">
      <w:pPr>
        <w:pStyle w:val="ListParagraph"/>
        <w:numPr>
          <w:ilvl w:val="0"/>
          <w:numId w:val="1"/>
        </w:numPr>
        <w:spacing w:before="120" w:after="0" w:line="264" w:lineRule="auto"/>
        <w:rPr>
          <w:rFonts w:cstheme="minorHAnsi"/>
        </w:rPr>
      </w:pPr>
      <w:r>
        <w:rPr>
          <w:rFonts w:cstheme="minorHAnsi"/>
        </w:rPr>
        <w:t xml:space="preserve">Enfin, lors de la phase M ou mitose, </w:t>
      </w:r>
      <w:r w:rsidR="00827CC3">
        <w:rPr>
          <w:rFonts w:cstheme="minorHAnsi"/>
        </w:rPr>
        <w:t>la chromatine se replie et se condense pour former les chromosomes à deux chromatides.</w:t>
      </w:r>
    </w:p>
    <w:p w:rsidR="00BC0934" w:rsidRDefault="00BC0934" w:rsidP="00BC0934">
      <w:pPr>
        <w:spacing w:after="0" w:line="264" w:lineRule="auto"/>
        <w:rPr>
          <w:b/>
          <w:u w:val="single"/>
        </w:rPr>
      </w:pPr>
    </w:p>
    <w:p w:rsidR="00BC0934" w:rsidRDefault="00BC0934" w:rsidP="00E60AF8">
      <w:pPr>
        <w:spacing w:after="0" w:line="264" w:lineRule="auto"/>
      </w:pPr>
      <w:r w:rsidRPr="00BC0934">
        <w:rPr>
          <w:b/>
          <w:u w:val="single"/>
        </w:rPr>
        <w:t>1A.</w:t>
      </w:r>
      <w:r w:rsidR="007543AC">
        <w:rPr>
          <w:b/>
          <w:u w:val="single"/>
        </w:rPr>
        <w:t>9</w:t>
      </w:r>
      <w:r w:rsidRPr="00BC0934">
        <w:rPr>
          <w:b/>
        </w:rPr>
        <w:t>.</w:t>
      </w:r>
      <w:r>
        <w:t xml:space="preserve"> </w:t>
      </w:r>
      <w:r w:rsidR="007543AC">
        <w:t xml:space="preserve">Le caryotype doit être </w:t>
      </w:r>
      <w:proofErr w:type="gramStart"/>
      <w:r w:rsidR="007543AC">
        <w:t>réalisé</w:t>
      </w:r>
      <w:proofErr w:type="gramEnd"/>
      <w:r w:rsidR="007543AC">
        <w:t xml:space="preserve"> en début de mitose car la chromatine y est condensée et permet de visualiser les chromosomes à deux chromatides.</w:t>
      </w:r>
    </w:p>
    <w:p w:rsidR="00E60AF8" w:rsidRDefault="00E60AF8" w:rsidP="00E60AF8">
      <w:pPr>
        <w:spacing w:after="0" w:line="264" w:lineRule="auto"/>
        <w:rPr>
          <w:b/>
          <w:u w:val="single"/>
        </w:rPr>
      </w:pPr>
    </w:p>
    <w:p w:rsidR="00E60AF8" w:rsidRDefault="00E60AF8" w:rsidP="00935958">
      <w:pPr>
        <w:spacing w:after="120" w:line="264" w:lineRule="auto"/>
      </w:pPr>
      <w:r w:rsidRPr="00BC0934">
        <w:rPr>
          <w:b/>
          <w:u w:val="single"/>
        </w:rPr>
        <w:t>1A.</w:t>
      </w:r>
      <w:r>
        <w:rPr>
          <w:b/>
          <w:u w:val="single"/>
        </w:rPr>
        <w:t>10</w:t>
      </w:r>
      <w:r w:rsidRPr="00BC0934">
        <w:rPr>
          <w:b/>
        </w:rPr>
        <w:t>.</w:t>
      </w:r>
      <w:r>
        <w:t xml:space="preserve"> </w:t>
      </w:r>
      <w:r w:rsidR="00935958">
        <w:t>Présenter l’analyse du caryotype du fœtus présenté dans le document 2.</w:t>
      </w:r>
    </w:p>
    <w:tbl>
      <w:tblPr>
        <w:tblStyle w:val="TableGrid"/>
        <w:tblW w:w="0" w:type="auto"/>
        <w:tblLook w:val="04A0"/>
      </w:tblPr>
      <w:tblGrid>
        <w:gridCol w:w="2068"/>
        <w:gridCol w:w="2069"/>
        <w:gridCol w:w="2069"/>
        <w:gridCol w:w="2069"/>
        <w:gridCol w:w="2069"/>
      </w:tblGrid>
      <w:tr w:rsidR="00935958" w:rsidTr="00935958">
        <w:tc>
          <w:tcPr>
            <w:tcW w:w="2068" w:type="dxa"/>
            <w:vAlign w:val="center"/>
          </w:tcPr>
          <w:p w:rsidR="00935958" w:rsidRPr="00935958" w:rsidRDefault="00935958" w:rsidP="00935958">
            <w:pPr>
              <w:spacing w:line="264" w:lineRule="auto"/>
              <w:jc w:val="center"/>
              <w:rPr>
                <w:b/>
              </w:rPr>
            </w:pPr>
            <w:r w:rsidRPr="00935958">
              <w:rPr>
                <w:b/>
              </w:rPr>
              <w:t>Nombre d’autosomes</w:t>
            </w:r>
          </w:p>
        </w:tc>
        <w:tc>
          <w:tcPr>
            <w:tcW w:w="2069" w:type="dxa"/>
            <w:vAlign w:val="center"/>
          </w:tcPr>
          <w:p w:rsidR="00935958" w:rsidRPr="00935958" w:rsidRDefault="00935958" w:rsidP="00935958">
            <w:pPr>
              <w:spacing w:line="264" w:lineRule="auto"/>
              <w:jc w:val="center"/>
              <w:rPr>
                <w:b/>
              </w:rPr>
            </w:pPr>
            <w:r w:rsidRPr="00935958">
              <w:rPr>
                <w:b/>
              </w:rPr>
              <w:t xml:space="preserve">Nombre de </w:t>
            </w:r>
            <w:proofErr w:type="spellStart"/>
            <w:r w:rsidRPr="00935958">
              <w:rPr>
                <w:b/>
              </w:rPr>
              <w:t>gonosomes</w:t>
            </w:r>
            <w:proofErr w:type="spellEnd"/>
          </w:p>
        </w:tc>
        <w:tc>
          <w:tcPr>
            <w:tcW w:w="2069" w:type="dxa"/>
            <w:vAlign w:val="center"/>
          </w:tcPr>
          <w:p w:rsidR="00935958" w:rsidRPr="00935958" w:rsidRDefault="00935958" w:rsidP="00935958">
            <w:pPr>
              <w:spacing w:line="264" w:lineRule="auto"/>
              <w:jc w:val="center"/>
              <w:rPr>
                <w:b/>
              </w:rPr>
            </w:pPr>
            <w:r w:rsidRPr="00935958">
              <w:rPr>
                <w:b/>
              </w:rPr>
              <w:t>Formule chromosomique</w:t>
            </w:r>
          </w:p>
        </w:tc>
        <w:tc>
          <w:tcPr>
            <w:tcW w:w="2069" w:type="dxa"/>
            <w:vAlign w:val="center"/>
          </w:tcPr>
          <w:p w:rsidR="00935958" w:rsidRPr="00935958" w:rsidRDefault="00935958" w:rsidP="00935958">
            <w:pPr>
              <w:spacing w:line="264" w:lineRule="auto"/>
              <w:jc w:val="center"/>
              <w:rPr>
                <w:b/>
              </w:rPr>
            </w:pPr>
            <w:r w:rsidRPr="00935958">
              <w:rPr>
                <w:b/>
              </w:rPr>
              <w:t>Sexe du fœtus</w:t>
            </w:r>
          </w:p>
        </w:tc>
        <w:tc>
          <w:tcPr>
            <w:tcW w:w="2069" w:type="dxa"/>
            <w:vAlign w:val="center"/>
          </w:tcPr>
          <w:p w:rsidR="00935958" w:rsidRPr="00935958" w:rsidRDefault="00935958" w:rsidP="00935958">
            <w:pPr>
              <w:spacing w:line="264" w:lineRule="auto"/>
              <w:jc w:val="center"/>
              <w:rPr>
                <w:b/>
              </w:rPr>
            </w:pPr>
            <w:r w:rsidRPr="00935958">
              <w:rPr>
                <w:b/>
              </w:rPr>
              <w:t>Conclusion</w:t>
            </w:r>
          </w:p>
        </w:tc>
      </w:tr>
      <w:tr w:rsidR="00935958" w:rsidTr="00935958">
        <w:tc>
          <w:tcPr>
            <w:tcW w:w="2068" w:type="dxa"/>
            <w:vAlign w:val="center"/>
          </w:tcPr>
          <w:p w:rsidR="00935958" w:rsidRDefault="00855316" w:rsidP="00935958">
            <w:pPr>
              <w:spacing w:line="264" w:lineRule="auto"/>
              <w:jc w:val="center"/>
            </w:pPr>
            <w:r>
              <w:t>21 paires + 1 triplet = 45 autosomes</w:t>
            </w:r>
          </w:p>
        </w:tc>
        <w:tc>
          <w:tcPr>
            <w:tcW w:w="2069" w:type="dxa"/>
            <w:vAlign w:val="center"/>
          </w:tcPr>
          <w:p w:rsidR="00855316" w:rsidRDefault="00855316" w:rsidP="00935958">
            <w:pPr>
              <w:spacing w:line="264" w:lineRule="auto"/>
              <w:jc w:val="center"/>
            </w:pPr>
            <w:r>
              <w:t>1 paire XX</w:t>
            </w:r>
          </w:p>
          <w:p w:rsidR="00935958" w:rsidRDefault="00855316" w:rsidP="00935958">
            <w:pPr>
              <w:spacing w:line="264" w:lineRule="auto"/>
              <w:jc w:val="center"/>
            </w:pPr>
            <w:r>
              <w:t xml:space="preserve">= 2 </w:t>
            </w:r>
            <w:proofErr w:type="spellStart"/>
            <w:r>
              <w:t>gonosomes</w:t>
            </w:r>
            <w:proofErr w:type="spellEnd"/>
          </w:p>
        </w:tc>
        <w:tc>
          <w:tcPr>
            <w:tcW w:w="2069" w:type="dxa"/>
            <w:vAlign w:val="center"/>
          </w:tcPr>
          <w:p w:rsidR="00935958" w:rsidRDefault="00855316" w:rsidP="00935958">
            <w:pPr>
              <w:spacing w:line="264" w:lineRule="auto"/>
              <w:jc w:val="center"/>
            </w:pPr>
            <w:r>
              <w:t>46, XX, +21</w:t>
            </w:r>
          </w:p>
        </w:tc>
        <w:tc>
          <w:tcPr>
            <w:tcW w:w="2069" w:type="dxa"/>
            <w:vAlign w:val="center"/>
          </w:tcPr>
          <w:p w:rsidR="00935958" w:rsidRDefault="00855316" w:rsidP="00935958">
            <w:pPr>
              <w:spacing w:line="264" w:lineRule="auto"/>
              <w:jc w:val="center"/>
            </w:pPr>
            <w:r>
              <w:t>Féminin</w:t>
            </w:r>
          </w:p>
        </w:tc>
        <w:tc>
          <w:tcPr>
            <w:tcW w:w="2069" w:type="dxa"/>
            <w:vAlign w:val="center"/>
          </w:tcPr>
          <w:p w:rsidR="00935958" w:rsidRDefault="00855316" w:rsidP="00935958">
            <w:pPr>
              <w:spacing w:line="264" w:lineRule="auto"/>
              <w:jc w:val="center"/>
            </w:pPr>
            <w:r>
              <w:t>Le fœtus est de sexe féminin et atteint de trisomie 21</w:t>
            </w:r>
          </w:p>
        </w:tc>
      </w:tr>
    </w:tbl>
    <w:p w:rsidR="00935958" w:rsidRDefault="00935958" w:rsidP="00E60AF8">
      <w:pPr>
        <w:spacing w:after="0" w:line="264" w:lineRule="auto"/>
      </w:pPr>
    </w:p>
    <w:p w:rsidR="001D51B5" w:rsidRPr="00744BD2" w:rsidRDefault="001D51B5" w:rsidP="001D51B5">
      <w:pPr>
        <w:tabs>
          <w:tab w:val="left" w:pos="1200"/>
        </w:tabs>
        <w:spacing w:line="264" w:lineRule="auto"/>
        <w:rPr>
          <w:b/>
          <w:sz w:val="24"/>
          <w:szCs w:val="24"/>
          <w:u w:val="single"/>
        </w:rPr>
      </w:pPr>
      <w:r w:rsidRPr="00744BD2">
        <w:rPr>
          <w:b/>
          <w:sz w:val="24"/>
          <w:szCs w:val="24"/>
          <w:u w:val="single"/>
        </w:rPr>
        <w:t>Partie 1</w:t>
      </w:r>
      <w:r>
        <w:rPr>
          <w:b/>
          <w:sz w:val="24"/>
          <w:szCs w:val="24"/>
          <w:u w:val="single"/>
        </w:rPr>
        <w:t>B</w:t>
      </w:r>
      <w:r w:rsidRPr="00744BD2">
        <w:rPr>
          <w:b/>
          <w:sz w:val="24"/>
          <w:szCs w:val="24"/>
          <w:u w:val="single"/>
        </w:rPr>
        <w:t xml:space="preserve"> : </w:t>
      </w:r>
      <w:r>
        <w:rPr>
          <w:b/>
          <w:sz w:val="24"/>
          <w:szCs w:val="24"/>
          <w:u w:val="single"/>
        </w:rPr>
        <w:t>Trisomie 21 et leucémie</w:t>
      </w:r>
    </w:p>
    <w:p w:rsidR="001D51B5" w:rsidRDefault="001D51B5" w:rsidP="00057715">
      <w:pPr>
        <w:spacing w:after="120" w:line="264" w:lineRule="auto"/>
      </w:pPr>
      <w:r w:rsidRPr="00744BD2">
        <w:rPr>
          <w:b/>
          <w:u w:val="single"/>
        </w:rPr>
        <w:t>1</w:t>
      </w:r>
      <w:r w:rsidR="00057715">
        <w:rPr>
          <w:b/>
          <w:u w:val="single"/>
        </w:rPr>
        <w:t>B</w:t>
      </w:r>
      <w:r w:rsidRPr="00744BD2">
        <w:rPr>
          <w:b/>
          <w:u w:val="single"/>
        </w:rPr>
        <w:t>.1</w:t>
      </w:r>
      <w:r w:rsidRPr="00744BD2">
        <w:rPr>
          <w:b/>
        </w:rPr>
        <w:t>.</w:t>
      </w:r>
      <w:r>
        <w:t xml:space="preserve"> Proposer une définition des </w:t>
      </w:r>
      <w:r w:rsidR="00057715">
        <w:t>deux</w:t>
      </w:r>
      <w:r>
        <w:t xml:space="preserve"> termes en caractères gras</w:t>
      </w:r>
      <w:r w:rsidR="00057715">
        <w:t>.</w:t>
      </w:r>
    </w:p>
    <w:p w:rsidR="00057715" w:rsidRDefault="00057715" w:rsidP="00057715">
      <w:pPr>
        <w:pStyle w:val="ListParagraph"/>
        <w:numPr>
          <w:ilvl w:val="0"/>
          <w:numId w:val="1"/>
        </w:numPr>
        <w:spacing w:after="0" w:line="264" w:lineRule="auto"/>
        <w:contextualSpacing w:val="0"/>
        <w:rPr>
          <w:rFonts w:cstheme="minorHAnsi"/>
          <w:color w:val="000000" w:themeColor="text1"/>
        </w:rPr>
      </w:pPr>
      <w:r>
        <w:rPr>
          <w:rFonts w:cstheme="minorHAnsi"/>
          <w:color w:val="000000" w:themeColor="text1"/>
        </w:rPr>
        <w:t>Cancer</w:t>
      </w:r>
      <w:r w:rsidRPr="00744BD2">
        <w:rPr>
          <w:rFonts w:cstheme="minorHAnsi"/>
          <w:color w:val="000000" w:themeColor="text1"/>
        </w:rPr>
        <w:t xml:space="preserve"> = </w:t>
      </w:r>
      <w:r>
        <w:rPr>
          <w:rFonts w:cstheme="minorHAnsi"/>
          <w:color w:val="000000" w:themeColor="text1"/>
        </w:rPr>
        <w:t>Tumeur maligne causée par une multiplication anarchique des cellules</w:t>
      </w:r>
    </w:p>
    <w:p w:rsidR="00057715" w:rsidRPr="00ED43D6" w:rsidRDefault="00057715" w:rsidP="00ED43D6">
      <w:pPr>
        <w:pStyle w:val="ListParagraph"/>
        <w:numPr>
          <w:ilvl w:val="0"/>
          <w:numId w:val="1"/>
        </w:numPr>
        <w:spacing w:after="240" w:line="264" w:lineRule="auto"/>
        <w:ind w:left="714" w:hanging="357"/>
        <w:contextualSpacing w:val="0"/>
        <w:rPr>
          <w:rFonts w:cstheme="minorHAnsi"/>
          <w:color w:val="000000" w:themeColor="text1"/>
        </w:rPr>
      </w:pPr>
      <w:proofErr w:type="spellStart"/>
      <w:r w:rsidRPr="00057715">
        <w:rPr>
          <w:rFonts w:cstheme="minorHAnsi"/>
          <w:color w:val="000000" w:themeColor="text1"/>
        </w:rPr>
        <w:t>Anuclées</w:t>
      </w:r>
      <w:proofErr w:type="spellEnd"/>
      <w:r w:rsidRPr="00057715">
        <w:rPr>
          <w:rFonts w:cstheme="minorHAnsi"/>
          <w:color w:val="000000" w:themeColor="text1"/>
        </w:rPr>
        <w:t xml:space="preserve"> = A/</w:t>
      </w:r>
      <w:proofErr w:type="spellStart"/>
      <w:r w:rsidRPr="00057715">
        <w:rPr>
          <w:rFonts w:cstheme="minorHAnsi"/>
          <w:color w:val="000000" w:themeColor="text1"/>
        </w:rPr>
        <w:t>nuclées</w:t>
      </w:r>
      <w:proofErr w:type="spellEnd"/>
      <w:r w:rsidRPr="00057715">
        <w:rPr>
          <w:rFonts w:cstheme="minorHAnsi"/>
          <w:color w:val="000000" w:themeColor="text1"/>
        </w:rPr>
        <w:t> </w:t>
      </w:r>
      <w:r>
        <w:rPr>
          <w:rFonts w:cstheme="minorHAnsi"/>
          <w:color w:val="000000" w:themeColor="text1"/>
        </w:rPr>
        <w:t>= sans noyaux = cellule dépourvue de noyau</w:t>
      </w:r>
    </w:p>
    <w:p w:rsidR="00057715" w:rsidRDefault="00057715" w:rsidP="00057715">
      <w:pPr>
        <w:spacing w:after="120" w:line="264" w:lineRule="auto"/>
      </w:pPr>
      <w:r w:rsidRPr="00057715">
        <w:rPr>
          <w:b/>
          <w:u w:val="single"/>
        </w:rPr>
        <w:t>1B.</w:t>
      </w:r>
      <w:r>
        <w:rPr>
          <w:b/>
          <w:u w:val="single"/>
        </w:rPr>
        <w:t>2</w:t>
      </w:r>
      <w:r w:rsidRPr="00057715">
        <w:rPr>
          <w:b/>
        </w:rPr>
        <w:t>.</w:t>
      </w:r>
      <w:r>
        <w:t xml:space="preserve"> Expliquer, à l’aide du texte d’introduction, pourquoi l’expression « éléments figurés du sang » est préférée à l’expression « cellules sanguines »</w:t>
      </w:r>
    </w:p>
    <w:p w:rsidR="00ED43D6" w:rsidRDefault="00057715" w:rsidP="00ED43D6">
      <w:pPr>
        <w:spacing w:after="240" w:line="264" w:lineRule="auto"/>
      </w:pPr>
      <w:r>
        <w:t>On préfère le terme « d’éléments figurés du sang » plutôt que « cellules sanguines » car les thrombocytes du sang sont des fragments cellulaires et non pas des cellules à proprement parler.</w:t>
      </w:r>
    </w:p>
    <w:p w:rsidR="00DC1581" w:rsidRPr="00ED43D6" w:rsidRDefault="00DC1581" w:rsidP="00ED43D6">
      <w:pPr>
        <w:spacing w:after="240" w:line="264" w:lineRule="auto"/>
      </w:pPr>
    </w:p>
    <w:p w:rsidR="00ED43D6" w:rsidRDefault="00ED43D6" w:rsidP="00ED43D6">
      <w:pPr>
        <w:spacing w:after="120" w:line="264" w:lineRule="auto"/>
      </w:pPr>
      <w:r w:rsidRPr="00057715">
        <w:rPr>
          <w:b/>
          <w:u w:val="single"/>
        </w:rPr>
        <w:lastRenderedPageBreak/>
        <w:t>1B.</w:t>
      </w:r>
      <w:r>
        <w:rPr>
          <w:b/>
          <w:u w:val="single"/>
        </w:rPr>
        <w:t>3</w:t>
      </w:r>
      <w:r w:rsidRPr="00057715">
        <w:rPr>
          <w:b/>
        </w:rPr>
        <w:t>.</w:t>
      </w:r>
      <w:r>
        <w:t xml:space="preserve"> Montrer que le tissu sanguin est un tissu conjonctif à l’aide du document 4A.</w:t>
      </w:r>
    </w:p>
    <w:p w:rsidR="00ED43D6" w:rsidRDefault="00ED43D6" w:rsidP="00BF7050">
      <w:pPr>
        <w:spacing w:after="120" w:line="264" w:lineRule="auto"/>
        <w:jc w:val="both"/>
      </w:pPr>
      <w:r>
        <w:t>Le tissu sanguin est un tissu conjonctif car il est composé de cellules non jointives, les hématies et les leucocytes, baignant dans une matrice extracellulaire, le plasma.</w:t>
      </w:r>
    </w:p>
    <w:p w:rsidR="001038B2" w:rsidRDefault="001038B2" w:rsidP="001038B2">
      <w:pPr>
        <w:spacing w:after="120" w:line="264" w:lineRule="auto"/>
      </w:pPr>
      <w:r w:rsidRPr="00057715">
        <w:rPr>
          <w:b/>
          <w:u w:val="single"/>
        </w:rPr>
        <w:t>1B.</w:t>
      </w:r>
      <w:r>
        <w:rPr>
          <w:b/>
          <w:u w:val="single"/>
        </w:rPr>
        <w:t>4</w:t>
      </w:r>
      <w:r w:rsidRPr="00057715">
        <w:rPr>
          <w:b/>
        </w:rPr>
        <w:t>.</w:t>
      </w:r>
      <w:r>
        <w:t xml:space="preserve"> Comparer les deux microphotographies du document 4 afin d’en déduire la conséquence de la leucémie sur l’évolution du nombre de leucocytes.</w:t>
      </w:r>
    </w:p>
    <w:p w:rsidR="001038B2" w:rsidRDefault="001038B2" w:rsidP="001038B2">
      <w:pPr>
        <w:spacing w:after="120" w:line="264" w:lineRule="auto"/>
        <w:jc w:val="both"/>
      </w:pPr>
      <w:r>
        <w:t>Les deux microphotographies présentant les frottis sanguins d’un individu de référence et d’un individu atteint de leucémie sont de même taille et possèdent les mêmes échelles. Or, sur la photo du frottis de l’individu de référence on compte 3 leucocytes alors qu’on en compte 12 sur le frottis de l’individu atteint de leucémie. La leucémie semble donc entraîner l’augmentation du nombre de leucocytes dans le sang.</w:t>
      </w:r>
    </w:p>
    <w:p w:rsidR="00BF7050" w:rsidRDefault="00BF7050" w:rsidP="00BF7050">
      <w:pPr>
        <w:spacing w:after="120" w:line="264" w:lineRule="auto"/>
        <w:jc w:val="both"/>
      </w:pPr>
      <w:r w:rsidRPr="00057715">
        <w:rPr>
          <w:b/>
          <w:u w:val="single"/>
        </w:rPr>
        <w:t>1B.</w:t>
      </w:r>
      <w:r>
        <w:rPr>
          <w:b/>
          <w:u w:val="single"/>
        </w:rPr>
        <w:t>5</w:t>
      </w:r>
      <w:r w:rsidRPr="00057715">
        <w:rPr>
          <w:b/>
        </w:rPr>
        <w:t>.</w:t>
      </w:r>
      <w:r>
        <w:t xml:space="preserve"> Proposer une définition du terme asthénie et indiquer le terme médical correspondant à l’expression soulignée.</w:t>
      </w:r>
    </w:p>
    <w:p w:rsidR="00BF7050" w:rsidRDefault="00BF7050" w:rsidP="00BF7050">
      <w:pPr>
        <w:pStyle w:val="ListParagraph"/>
        <w:numPr>
          <w:ilvl w:val="0"/>
          <w:numId w:val="1"/>
        </w:numPr>
        <w:spacing w:after="0" w:line="264" w:lineRule="auto"/>
        <w:contextualSpacing w:val="0"/>
        <w:jc w:val="both"/>
      </w:pPr>
      <w:r>
        <w:t>Asthénie = fatigue intense</w:t>
      </w:r>
    </w:p>
    <w:p w:rsidR="00BF7050" w:rsidRDefault="00BF7050" w:rsidP="00FD2799">
      <w:pPr>
        <w:pStyle w:val="ListParagraph"/>
        <w:numPr>
          <w:ilvl w:val="0"/>
          <w:numId w:val="1"/>
        </w:numPr>
        <w:spacing w:after="0" w:line="264" w:lineRule="auto"/>
        <w:ind w:left="714" w:hanging="357"/>
        <w:contextualSpacing w:val="0"/>
        <w:jc w:val="both"/>
      </w:pPr>
      <w:r>
        <w:t>Effets secondaires indésirables = effets iatrogènes (</w:t>
      </w:r>
      <w:proofErr w:type="spellStart"/>
      <w:r>
        <w:t>iatro</w:t>
      </w:r>
      <w:proofErr w:type="spellEnd"/>
      <w:r>
        <w:t xml:space="preserve"> = traitement + -gène = à l’origine de)</w:t>
      </w:r>
    </w:p>
    <w:p w:rsidR="00BF7050" w:rsidRDefault="00BF7050" w:rsidP="00BF7050">
      <w:pPr>
        <w:spacing w:after="0" w:line="264" w:lineRule="auto"/>
        <w:rPr>
          <w:b/>
          <w:u w:val="single"/>
        </w:rPr>
      </w:pPr>
    </w:p>
    <w:p w:rsidR="00BF7050" w:rsidRDefault="00BF7050" w:rsidP="00FD2799">
      <w:pPr>
        <w:spacing w:after="120" w:line="264" w:lineRule="auto"/>
      </w:pPr>
      <w:r w:rsidRPr="00BF7050">
        <w:rPr>
          <w:b/>
          <w:u w:val="single"/>
        </w:rPr>
        <w:t>1B.</w:t>
      </w:r>
      <w:r>
        <w:rPr>
          <w:b/>
          <w:u w:val="single"/>
        </w:rPr>
        <w:t>6</w:t>
      </w:r>
      <w:r w:rsidRPr="00BF7050">
        <w:rPr>
          <w:b/>
        </w:rPr>
        <w:t>.</w:t>
      </w:r>
      <w:r>
        <w:t xml:space="preserve"> Présenter le principe de la chimiothérapie anticancéreuse.</w:t>
      </w:r>
    </w:p>
    <w:p w:rsidR="00BF7050" w:rsidRDefault="00BF7050" w:rsidP="00BF7050">
      <w:pPr>
        <w:spacing w:after="120" w:line="264" w:lineRule="auto"/>
        <w:jc w:val="both"/>
      </w:pPr>
      <w:r>
        <w:t xml:space="preserve">La chimiothérapie anticancéreuse correspond à l’administration de médicaments cytotoxiques qui détruisent les cellules cancéreuses de l’organisme. Ces agents </w:t>
      </w:r>
      <w:r w:rsidR="0059669F">
        <w:t>chimiques</w:t>
      </w:r>
      <w:r>
        <w:t xml:space="preserve"> empêchent la division des cellules à croissance rapide.</w:t>
      </w:r>
    </w:p>
    <w:p w:rsidR="0059669F" w:rsidRDefault="0059669F" w:rsidP="0059669F">
      <w:pPr>
        <w:spacing w:after="120" w:line="264" w:lineRule="auto"/>
      </w:pPr>
      <w:r w:rsidRPr="00BF7050">
        <w:rPr>
          <w:b/>
          <w:u w:val="single"/>
        </w:rPr>
        <w:t>1B.</w:t>
      </w:r>
      <w:r>
        <w:rPr>
          <w:b/>
          <w:u w:val="single"/>
        </w:rPr>
        <w:t>7</w:t>
      </w:r>
      <w:r w:rsidRPr="00BF7050">
        <w:rPr>
          <w:b/>
        </w:rPr>
        <w:t>.</w:t>
      </w:r>
      <w:r>
        <w:t xml:space="preserve"> Rappeler le rôle des hématies et établir, à l’aide du document 5, le lien entre la chimiothérapie et l’asthénie.</w:t>
      </w:r>
    </w:p>
    <w:p w:rsidR="0059669F" w:rsidRDefault="0059669F" w:rsidP="0059669F">
      <w:pPr>
        <w:spacing w:after="120" w:line="264" w:lineRule="auto"/>
        <w:jc w:val="both"/>
      </w:pPr>
      <w:r>
        <w:t xml:space="preserve">Les hématies permettent le transport du dioxygène dans le sang. Ces cellules apportent donc de l’oxygène à tous les tissus de l’organisme à partir duquel les cellules des tissus pourront produire de l’énergie sous forme d’ATP. </w:t>
      </w:r>
    </w:p>
    <w:p w:rsidR="0059669F" w:rsidRDefault="0059669F" w:rsidP="0059669F">
      <w:pPr>
        <w:spacing w:after="120" w:line="264" w:lineRule="auto"/>
        <w:jc w:val="both"/>
      </w:pPr>
      <w:r>
        <w:t>Le document 5 montre une microphotographie du frottis sanguin d’un individu après une chimiothérapie. On observe une nette diminution du nombre d’hématies par rapport au frottis sanguin d’un individu de référence (voir document 4A). La chimiothérapie est cytotoxique et détruits donc les cellules, notamment les hématies, qui ne sont donc plus en nombre suffisant pour assurer le transport de l’oxygène vers les tissus de l’organisme. Il y aura donc moins de production d’énergie et l’individu concerné ressentira une grande fatigue.</w:t>
      </w:r>
    </w:p>
    <w:p w:rsidR="00CB5CFD" w:rsidRDefault="00CB5CFD" w:rsidP="00CB5CFD">
      <w:pPr>
        <w:spacing w:after="0" w:line="264" w:lineRule="auto"/>
        <w:rPr>
          <w:rFonts w:cstheme="minorHAnsi"/>
        </w:rPr>
      </w:pPr>
      <w:r w:rsidRPr="00931C72">
        <w:rPr>
          <w:b/>
          <w:u w:val="single"/>
        </w:rPr>
        <w:t>1</w:t>
      </w:r>
      <w:r>
        <w:rPr>
          <w:b/>
          <w:u w:val="single"/>
        </w:rPr>
        <w:t>B</w:t>
      </w:r>
      <w:r w:rsidRPr="00931C72">
        <w:rPr>
          <w:b/>
          <w:u w:val="single"/>
        </w:rPr>
        <w:t>.</w:t>
      </w:r>
      <w:r>
        <w:rPr>
          <w:b/>
          <w:u w:val="single"/>
        </w:rPr>
        <w:t>8</w:t>
      </w:r>
      <w:r w:rsidRPr="00931C72">
        <w:rPr>
          <w:b/>
        </w:rPr>
        <w:t>.</w:t>
      </w:r>
      <w:r>
        <w:t xml:space="preserve"> Reporter sur la copie les annotations correspondant aux repères 1 à 6 du document 6.</w:t>
      </w:r>
    </w:p>
    <w:p w:rsidR="00CB5CFD" w:rsidRPr="0063694F" w:rsidRDefault="00CB5CFD" w:rsidP="00CB5CFD">
      <w:pPr>
        <w:spacing w:after="0" w:line="264" w:lineRule="auto"/>
        <w:ind w:firstLine="709"/>
        <w:rPr>
          <w:rFonts w:cstheme="minorHAnsi"/>
          <w:sz w:val="12"/>
          <w:szCs w:val="12"/>
        </w:rPr>
        <w:sectPr w:rsidR="00CB5CFD" w:rsidRPr="0063694F" w:rsidSect="00CB5CFD">
          <w:type w:val="continuous"/>
          <w:pgSz w:w="11906" w:h="16838"/>
          <w:pgMar w:top="851" w:right="851" w:bottom="851" w:left="851" w:header="709" w:footer="709" w:gutter="0"/>
          <w:cols w:space="708"/>
          <w:docGrid w:linePitch="360"/>
        </w:sectPr>
      </w:pPr>
    </w:p>
    <w:p w:rsidR="00CB5CFD" w:rsidRDefault="00CB5CFD" w:rsidP="00CB5CFD">
      <w:pPr>
        <w:spacing w:before="120" w:after="0" w:line="264" w:lineRule="auto"/>
        <w:ind w:firstLine="709"/>
        <w:rPr>
          <w:rFonts w:cstheme="minorHAnsi"/>
        </w:rPr>
      </w:pPr>
      <w:r>
        <w:rPr>
          <w:rFonts w:cstheme="minorHAnsi"/>
        </w:rPr>
        <w:lastRenderedPageBreak/>
        <w:t>1 = capsule fibreuse</w:t>
      </w:r>
    </w:p>
    <w:p w:rsidR="00CB5CFD" w:rsidRDefault="00CB5CFD" w:rsidP="00CB5CFD">
      <w:pPr>
        <w:spacing w:after="0" w:line="264" w:lineRule="auto"/>
        <w:ind w:firstLine="709"/>
        <w:rPr>
          <w:rFonts w:cstheme="minorHAnsi"/>
        </w:rPr>
      </w:pPr>
      <w:r>
        <w:rPr>
          <w:rFonts w:cstheme="minorHAnsi"/>
        </w:rPr>
        <w:t>2 = pyramide de Malpighi</w:t>
      </w:r>
    </w:p>
    <w:p w:rsidR="00CB5CFD" w:rsidRDefault="00CB5CFD" w:rsidP="00CB5CFD">
      <w:pPr>
        <w:spacing w:after="0" w:line="264" w:lineRule="auto"/>
        <w:ind w:firstLine="709"/>
        <w:rPr>
          <w:rFonts w:cstheme="minorHAnsi"/>
        </w:rPr>
      </w:pPr>
      <w:r>
        <w:rPr>
          <w:rFonts w:cstheme="minorHAnsi"/>
        </w:rPr>
        <w:t>3 = artère rénale</w:t>
      </w:r>
    </w:p>
    <w:p w:rsidR="00DE79B6" w:rsidRPr="00DE79B6" w:rsidRDefault="00DE79B6" w:rsidP="00CB5CFD">
      <w:pPr>
        <w:spacing w:after="0" w:line="264" w:lineRule="auto"/>
        <w:ind w:firstLine="709"/>
        <w:rPr>
          <w:rFonts w:cstheme="minorHAnsi"/>
          <w:sz w:val="12"/>
          <w:szCs w:val="12"/>
        </w:rPr>
      </w:pPr>
    </w:p>
    <w:p w:rsidR="00CB5CFD" w:rsidRDefault="00CB5CFD" w:rsidP="00CB5CFD">
      <w:pPr>
        <w:spacing w:after="0" w:line="264" w:lineRule="auto"/>
        <w:ind w:firstLine="709"/>
        <w:rPr>
          <w:rFonts w:cstheme="minorHAnsi"/>
        </w:rPr>
      </w:pPr>
      <w:r>
        <w:rPr>
          <w:rFonts w:cstheme="minorHAnsi"/>
        </w:rPr>
        <w:t>4 = veine rénale</w:t>
      </w:r>
    </w:p>
    <w:p w:rsidR="00CB5CFD" w:rsidRDefault="00CB5CFD" w:rsidP="00CB5CFD">
      <w:pPr>
        <w:spacing w:after="0" w:line="264" w:lineRule="auto"/>
        <w:ind w:firstLine="709"/>
        <w:rPr>
          <w:rFonts w:cstheme="minorHAnsi"/>
        </w:rPr>
      </w:pPr>
      <w:r>
        <w:rPr>
          <w:rFonts w:cstheme="minorHAnsi"/>
        </w:rPr>
        <w:t xml:space="preserve">5 = bassinet </w:t>
      </w:r>
    </w:p>
    <w:p w:rsidR="00CB5CFD" w:rsidRDefault="00CB5CFD" w:rsidP="00DE79B6">
      <w:pPr>
        <w:spacing w:after="0" w:line="264" w:lineRule="auto"/>
        <w:ind w:firstLine="709"/>
        <w:rPr>
          <w:rFonts w:cstheme="minorHAnsi"/>
        </w:rPr>
      </w:pPr>
      <w:r>
        <w:rPr>
          <w:rFonts w:cstheme="minorHAnsi"/>
        </w:rPr>
        <w:t>6 = uretère</w:t>
      </w:r>
    </w:p>
    <w:p w:rsidR="00DE79B6" w:rsidRDefault="00DE79B6" w:rsidP="00DE79B6">
      <w:pPr>
        <w:spacing w:after="0" w:line="264" w:lineRule="auto"/>
        <w:rPr>
          <w:rFonts w:cstheme="minorHAnsi"/>
        </w:rPr>
        <w:sectPr w:rsidR="00DE79B6" w:rsidSect="00DE79B6">
          <w:type w:val="continuous"/>
          <w:pgSz w:w="11906" w:h="16838"/>
          <w:pgMar w:top="851" w:right="851" w:bottom="851" w:left="851" w:header="709" w:footer="709" w:gutter="0"/>
          <w:cols w:num="2" w:space="708"/>
          <w:docGrid w:linePitch="360"/>
        </w:sectPr>
      </w:pPr>
    </w:p>
    <w:p w:rsidR="00DE79B6" w:rsidRDefault="00DE79B6" w:rsidP="00DE79B6">
      <w:pPr>
        <w:spacing w:after="0" w:line="264" w:lineRule="auto"/>
        <w:rPr>
          <w:rFonts w:cstheme="minorHAnsi"/>
        </w:rPr>
      </w:pPr>
    </w:p>
    <w:p w:rsidR="00DE79B6" w:rsidRDefault="00DE79B6" w:rsidP="00DE79B6">
      <w:pPr>
        <w:spacing w:after="120" w:line="264" w:lineRule="auto"/>
      </w:pPr>
      <w:r w:rsidRPr="00BF7050">
        <w:rPr>
          <w:b/>
          <w:u w:val="single"/>
        </w:rPr>
        <w:t>1B.</w:t>
      </w:r>
      <w:r>
        <w:rPr>
          <w:b/>
          <w:u w:val="single"/>
        </w:rPr>
        <w:t>9</w:t>
      </w:r>
      <w:r w:rsidRPr="00BF7050">
        <w:rPr>
          <w:b/>
        </w:rPr>
        <w:t>.</w:t>
      </w:r>
      <w:r>
        <w:t xml:space="preserve"> Expliquer le principe de la filtration glomérulaire.</w:t>
      </w:r>
    </w:p>
    <w:p w:rsidR="00DE79B6" w:rsidRDefault="00DE79B6" w:rsidP="00DE79B6">
      <w:pPr>
        <w:spacing w:after="120" w:line="264" w:lineRule="auto"/>
        <w:jc w:val="both"/>
      </w:pPr>
      <w:r>
        <w:t>La filtration glomérulaire correspond au passage des petites molécules (eau, glucose, Na+, urée…) du sang vers la capsule de Bowman au niveau du glomérule</w:t>
      </w:r>
      <w:r w:rsidR="007150F2">
        <w:t xml:space="preserve"> des reins pour obtenir</w:t>
      </w:r>
      <w:r>
        <w:t xml:space="preserve"> l’urine primitive.</w:t>
      </w:r>
    </w:p>
    <w:p w:rsidR="00DE79B6" w:rsidRDefault="00DE79B6" w:rsidP="00B555F2">
      <w:pPr>
        <w:spacing w:after="120" w:line="264" w:lineRule="auto"/>
      </w:pPr>
      <w:r w:rsidRPr="00BF7050">
        <w:rPr>
          <w:b/>
          <w:u w:val="single"/>
        </w:rPr>
        <w:t>1B.</w:t>
      </w:r>
      <w:r>
        <w:rPr>
          <w:b/>
          <w:u w:val="single"/>
        </w:rPr>
        <w:t>10</w:t>
      </w:r>
      <w:r w:rsidRPr="00BF7050">
        <w:rPr>
          <w:b/>
        </w:rPr>
        <w:t>.</w:t>
      </w:r>
      <w:r>
        <w:t xml:space="preserve"> Justifier, d’après le document fournit, la nécessité </w:t>
      </w:r>
      <w:r w:rsidR="00B555F2">
        <w:t>d’une transplantation rénale au stade 5 de l’insuffisance rénale.</w:t>
      </w:r>
    </w:p>
    <w:p w:rsidR="00B555F2" w:rsidRPr="00B555F2" w:rsidRDefault="00B555F2" w:rsidP="00B555F2">
      <w:pPr>
        <w:spacing w:after="120" w:line="264" w:lineRule="auto"/>
        <w:jc w:val="both"/>
      </w:pPr>
      <w:r>
        <w:t xml:space="preserve">Au stade 5 de l’insuffisance rénale chronique on observe que le volume de liquide filtré par les reins par unité de temps est inférieur à 15 </w:t>
      </w:r>
      <w:proofErr w:type="spellStart"/>
      <w:r>
        <w:t>mL.min</w:t>
      </w:r>
      <w:proofErr w:type="spellEnd"/>
      <w:r w:rsidRPr="00B555F2">
        <w:rPr>
          <w:vertAlign w:val="superscript"/>
        </w:rPr>
        <w:t>-1</w:t>
      </w:r>
      <w:r>
        <w:t xml:space="preserve"> </w:t>
      </w:r>
      <w:r w:rsidRPr="00B555F2">
        <w:t>comparé</w:t>
      </w:r>
      <w:r>
        <w:t xml:space="preserve"> à plus de 90 </w:t>
      </w:r>
      <w:proofErr w:type="spellStart"/>
      <w:r>
        <w:t>mL.min</w:t>
      </w:r>
      <w:proofErr w:type="spellEnd"/>
      <w:r w:rsidRPr="00B555F2">
        <w:rPr>
          <w:vertAlign w:val="superscript"/>
        </w:rPr>
        <w:t>-1</w:t>
      </w:r>
      <w:r>
        <w:t xml:space="preserve"> chez un individu sain. Au stade 5 de l’insuffisance rénale, les reins ne sont donc plus capables de filtrer le sang pour éliminer ses déchets ce qui peut entraîner de graves conséquence. Il faut donc effectuer une transplantation rénale.</w:t>
      </w:r>
    </w:p>
    <w:p w:rsidR="00DC1581" w:rsidRDefault="00DC1581" w:rsidP="00E71FBB">
      <w:pPr>
        <w:tabs>
          <w:tab w:val="left" w:pos="1200"/>
        </w:tabs>
        <w:spacing w:line="264" w:lineRule="auto"/>
        <w:rPr>
          <w:b/>
          <w:sz w:val="24"/>
          <w:szCs w:val="24"/>
          <w:u w:val="single"/>
        </w:rPr>
      </w:pPr>
    </w:p>
    <w:p w:rsidR="00DC1581" w:rsidRDefault="00DC1581" w:rsidP="00E71FBB">
      <w:pPr>
        <w:tabs>
          <w:tab w:val="left" w:pos="1200"/>
        </w:tabs>
        <w:spacing w:line="264" w:lineRule="auto"/>
        <w:rPr>
          <w:b/>
          <w:sz w:val="24"/>
          <w:szCs w:val="24"/>
          <w:u w:val="single"/>
        </w:rPr>
      </w:pPr>
    </w:p>
    <w:p w:rsidR="00DC1581" w:rsidRDefault="00DC1581" w:rsidP="00E71FBB">
      <w:pPr>
        <w:tabs>
          <w:tab w:val="left" w:pos="1200"/>
        </w:tabs>
        <w:spacing w:line="264" w:lineRule="auto"/>
        <w:rPr>
          <w:b/>
          <w:sz w:val="24"/>
          <w:szCs w:val="24"/>
          <w:u w:val="single"/>
        </w:rPr>
      </w:pPr>
    </w:p>
    <w:p w:rsidR="00E71FBB" w:rsidRPr="00744BD2" w:rsidRDefault="00E71FBB" w:rsidP="00E71FBB">
      <w:pPr>
        <w:tabs>
          <w:tab w:val="left" w:pos="1200"/>
        </w:tabs>
        <w:spacing w:line="264" w:lineRule="auto"/>
        <w:rPr>
          <w:b/>
          <w:sz w:val="24"/>
          <w:szCs w:val="24"/>
          <w:u w:val="single"/>
        </w:rPr>
      </w:pPr>
      <w:r w:rsidRPr="00744BD2">
        <w:rPr>
          <w:b/>
          <w:sz w:val="24"/>
          <w:szCs w:val="24"/>
          <w:u w:val="single"/>
        </w:rPr>
        <w:lastRenderedPageBreak/>
        <w:t xml:space="preserve">Partie </w:t>
      </w:r>
      <w:r>
        <w:rPr>
          <w:b/>
          <w:sz w:val="24"/>
          <w:szCs w:val="24"/>
          <w:u w:val="single"/>
        </w:rPr>
        <w:t>2</w:t>
      </w:r>
      <w:r w:rsidRPr="00744BD2">
        <w:rPr>
          <w:b/>
          <w:sz w:val="24"/>
          <w:szCs w:val="24"/>
          <w:u w:val="single"/>
        </w:rPr>
        <w:t xml:space="preserve"> : </w:t>
      </w:r>
      <w:r>
        <w:rPr>
          <w:b/>
          <w:sz w:val="24"/>
          <w:szCs w:val="24"/>
          <w:u w:val="single"/>
        </w:rPr>
        <w:t>Trisomie 21 et diabète</w:t>
      </w:r>
    </w:p>
    <w:p w:rsidR="00E71FBB" w:rsidRDefault="00E71FBB" w:rsidP="00E71FBB">
      <w:pPr>
        <w:spacing w:after="120" w:line="264" w:lineRule="auto"/>
      </w:pPr>
      <w:r>
        <w:rPr>
          <w:b/>
          <w:u w:val="single"/>
        </w:rPr>
        <w:t>2.1</w:t>
      </w:r>
      <w:r w:rsidRPr="00744BD2">
        <w:rPr>
          <w:b/>
        </w:rPr>
        <w:t>.</w:t>
      </w:r>
      <w:r>
        <w:t xml:space="preserve"> Déterminer si l’allèle responsable de la maladie est dominant ou récessif.</w:t>
      </w:r>
    </w:p>
    <w:p w:rsidR="00E71FBB" w:rsidRDefault="00E71FBB" w:rsidP="00E71FBB">
      <w:pPr>
        <w:spacing w:after="120" w:line="264" w:lineRule="auto"/>
        <w:jc w:val="both"/>
      </w:pPr>
      <w:r>
        <w:t>L’arbre généalogique montre que des enfants malades ont des parents sains : les individus III.1 et III.2 sont malades alors que leurs parents II.1 et II.2 sont sains. Les parents II.1 et II.2 sont donc porteurs de la maladie mais de phénotype sain. L’allèle responsable de la maladie est donc récessif.</w:t>
      </w:r>
    </w:p>
    <w:p w:rsidR="00E71FBB" w:rsidRDefault="00E71FBB" w:rsidP="00E71FBB">
      <w:pPr>
        <w:spacing w:after="120" w:line="264" w:lineRule="auto"/>
        <w:jc w:val="both"/>
      </w:pPr>
      <w:r>
        <w:t>Convention d’écriture : On note m l’allèle malade récessif et S l’allèle sain dominant.</w:t>
      </w:r>
    </w:p>
    <w:p w:rsidR="00E71FBB" w:rsidRDefault="00E71FBB" w:rsidP="00E71FBB">
      <w:pPr>
        <w:spacing w:after="120" w:line="264" w:lineRule="auto"/>
      </w:pPr>
      <w:r>
        <w:rPr>
          <w:b/>
          <w:u w:val="single"/>
        </w:rPr>
        <w:t>2.2</w:t>
      </w:r>
      <w:r w:rsidRPr="00744BD2">
        <w:rPr>
          <w:b/>
        </w:rPr>
        <w:t>.</w:t>
      </w:r>
      <w:r>
        <w:t xml:space="preserve"> Déterminer si le gène est porté par un autosome ou un </w:t>
      </w:r>
      <w:proofErr w:type="spellStart"/>
      <w:r>
        <w:t>gonosome</w:t>
      </w:r>
      <w:proofErr w:type="spellEnd"/>
      <w:r>
        <w:t>.</w:t>
      </w:r>
    </w:p>
    <w:p w:rsidR="00E71FBB" w:rsidRDefault="00E71FBB" w:rsidP="00E71FBB">
      <w:pPr>
        <w:spacing w:after="120" w:line="264" w:lineRule="auto"/>
        <w:jc w:val="both"/>
        <w:rPr>
          <w:vertAlign w:val="superscript"/>
        </w:rPr>
      </w:pPr>
      <w:r>
        <w:t xml:space="preserve">- Hypothèse 1 : L’allèle malade est porté par le </w:t>
      </w:r>
      <w:proofErr w:type="spellStart"/>
      <w:r>
        <w:t>gonosome</w:t>
      </w:r>
      <w:proofErr w:type="spellEnd"/>
      <w:r>
        <w:t xml:space="preserve"> Y : allèle noté </w:t>
      </w:r>
      <w:proofErr w:type="spellStart"/>
      <w:r>
        <w:t>Y</w:t>
      </w:r>
      <w:r w:rsidRPr="00E71FBB">
        <w:rPr>
          <w:vertAlign w:val="superscript"/>
        </w:rPr>
        <w:t>m</w:t>
      </w:r>
      <w:proofErr w:type="spellEnd"/>
    </w:p>
    <w:p w:rsidR="00E71FBB" w:rsidRDefault="00E71FBB" w:rsidP="00E71FBB">
      <w:pPr>
        <w:spacing w:after="120" w:line="264" w:lineRule="auto"/>
        <w:jc w:val="both"/>
      </w:pPr>
      <w:r>
        <w:t>Si l’allèle malade était porté par Y seul des hommes seraient malades, or la femmes III2 est malade. L’allèle malade ne peut donc pas être porté par Y.</w:t>
      </w:r>
    </w:p>
    <w:p w:rsidR="00E71FBB" w:rsidRDefault="00E71FBB" w:rsidP="00E71FBB">
      <w:pPr>
        <w:spacing w:after="120" w:line="264" w:lineRule="auto"/>
        <w:jc w:val="both"/>
        <w:rPr>
          <w:vertAlign w:val="superscript"/>
        </w:rPr>
      </w:pPr>
      <w:r>
        <w:t xml:space="preserve">- Hypothèse 2 : L’allèle malade est porté par le </w:t>
      </w:r>
      <w:proofErr w:type="spellStart"/>
      <w:r>
        <w:t>gonosome</w:t>
      </w:r>
      <w:proofErr w:type="spellEnd"/>
      <w:r>
        <w:t xml:space="preserve"> X : allèle noté </w:t>
      </w:r>
      <w:proofErr w:type="spellStart"/>
      <w:r>
        <w:t>X</w:t>
      </w:r>
      <w:r w:rsidRPr="00E71FBB">
        <w:rPr>
          <w:vertAlign w:val="superscript"/>
        </w:rPr>
        <w:t>m</w:t>
      </w:r>
      <w:proofErr w:type="spellEnd"/>
    </w:p>
    <w:p w:rsidR="00E71FBB" w:rsidRDefault="00E71FBB" w:rsidP="00E71FBB">
      <w:pPr>
        <w:spacing w:after="120" w:line="264" w:lineRule="auto"/>
        <w:jc w:val="both"/>
      </w:pPr>
      <w:r>
        <w:t xml:space="preserve">Si l’allèle malade était porté par X, les filles malades auraient pour génotype </w:t>
      </w:r>
      <w:proofErr w:type="spellStart"/>
      <w:r>
        <w:t>X</w:t>
      </w:r>
      <w:r w:rsidRPr="00E71FBB">
        <w:rPr>
          <w:vertAlign w:val="superscript"/>
        </w:rPr>
        <w:t>m</w:t>
      </w:r>
      <w:proofErr w:type="spellEnd"/>
      <w:r>
        <w:t>//</w:t>
      </w:r>
      <w:proofErr w:type="spellStart"/>
      <w:r>
        <w:t>X</w:t>
      </w:r>
      <w:r w:rsidRPr="00E71FBB">
        <w:rPr>
          <w:vertAlign w:val="superscript"/>
        </w:rPr>
        <w:t>m</w:t>
      </w:r>
      <w:proofErr w:type="spellEnd"/>
      <w:r>
        <w:t xml:space="preserve"> avec un chromosome </w:t>
      </w:r>
      <w:proofErr w:type="spellStart"/>
      <w:r>
        <w:t>X</w:t>
      </w:r>
      <w:r w:rsidRPr="00E71FBB">
        <w:rPr>
          <w:vertAlign w:val="superscript"/>
        </w:rPr>
        <w:t>m</w:t>
      </w:r>
      <w:proofErr w:type="spellEnd"/>
      <w:r>
        <w:t xml:space="preserve"> transmis par la mère et un chromosome </w:t>
      </w:r>
      <w:proofErr w:type="spellStart"/>
      <w:r>
        <w:t>X</w:t>
      </w:r>
      <w:r w:rsidRPr="00E71FBB">
        <w:rPr>
          <w:vertAlign w:val="superscript"/>
        </w:rPr>
        <w:t>m</w:t>
      </w:r>
      <w:proofErr w:type="spellEnd"/>
      <w:r>
        <w:t xml:space="preserve"> transmis par le père forcément exprimé chez le père. Tous les pères des filles malades seraient forcément malade avec pour génotype </w:t>
      </w:r>
      <w:proofErr w:type="spellStart"/>
      <w:r>
        <w:t>X</w:t>
      </w:r>
      <w:r w:rsidRPr="00E71FBB">
        <w:rPr>
          <w:vertAlign w:val="superscript"/>
        </w:rPr>
        <w:t>m</w:t>
      </w:r>
      <w:proofErr w:type="spellEnd"/>
      <w:r>
        <w:t>//Y. Or, la fille malade III2 a un père II2 sain. L’allèle malade n’est donc pas porté par X.</w:t>
      </w:r>
    </w:p>
    <w:p w:rsidR="00E71FBB" w:rsidRDefault="00E71FBB" w:rsidP="00E71FBB">
      <w:pPr>
        <w:spacing w:after="120" w:line="264" w:lineRule="auto"/>
        <w:jc w:val="both"/>
      </w:pPr>
      <w:r>
        <w:t xml:space="preserve">En conclusion, puisque l’allèle malade n’est ni porté par Y, ni porté par X, il n’est pas porté par un </w:t>
      </w:r>
      <w:proofErr w:type="spellStart"/>
      <w:r>
        <w:t>gonosome</w:t>
      </w:r>
      <w:proofErr w:type="spellEnd"/>
      <w:r>
        <w:t xml:space="preserve"> mais par un autosome.</w:t>
      </w:r>
    </w:p>
    <w:p w:rsidR="00E71FBB" w:rsidRDefault="00E71FBB" w:rsidP="00E71FBB">
      <w:pPr>
        <w:spacing w:after="120" w:line="264" w:lineRule="auto"/>
      </w:pPr>
      <w:r>
        <w:rPr>
          <w:b/>
          <w:u w:val="single"/>
        </w:rPr>
        <w:t>2.3</w:t>
      </w:r>
      <w:r w:rsidRPr="00744BD2">
        <w:rPr>
          <w:b/>
        </w:rPr>
        <w:t>.</w:t>
      </w:r>
      <w:r>
        <w:t xml:space="preserve"> Ecrire le génotype des parents II1 et II2, ainsi que celui de leurs enfants.</w:t>
      </w:r>
    </w:p>
    <w:p w:rsidR="00E71FBB" w:rsidRDefault="00E71FBB" w:rsidP="00E71FBB">
      <w:pPr>
        <w:spacing w:after="120" w:line="264" w:lineRule="auto"/>
      </w:pPr>
      <w:r>
        <w:t>Comme des enfants des parents II1 et II2 sont malades, ces individus sont forcément porteurs sains de la maladie et ont pour génotype m//S.</w:t>
      </w:r>
    </w:p>
    <w:p w:rsidR="00E71FBB" w:rsidRDefault="00E71FBB" w:rsidP="00E71FBB">
      <w:pPr>
        <w:spacing w:after="120" w:line="264" w:lineRule="auto"/>
      </w:pPr>
      <w:r>
        <w:t>Les enfants III1 et III2 étant malades ils ont pour génotype m//m.</w:t>
      </w:r>
    </w:p>
    <w:p w:rsidR="00E71FBB" w:rsidRDefault="00E71FBB" w:rsidP="00E71FBB">
      <w:pPr>
        <w:spacing w:after="120" w:line="264" w:lineRule="auto"/>
      </w:pPr>
      <w:r>
        <w:t>Le fils III3 est sain et comme ses parents sont hétérozygotes pour le gène malade, il peut être soit de génotype S//S soit de génotype S//m.</w:t>
      </w:r>
    </w:p>
    <w:p w:rsidR="00E71FBB" w:rsidRDefault="00E71FBB" w:rsidP="00E71FBB">
      <w:pPr>
        <w:spacing w:after="120" w:line="264" w:lineRule="auto"/>
      </w:pPr>
      <w:r>
        <w:rPr>
          <w:b/>
          <w:u w:val="single"/>
        </w:rPr>
        <w:t>2.4</w:t>
      </w:r>
      <w:r w:rsidRPr="00744BD2">
        <w:rPr>
          <w:b/>
        </w:rPr>
        <w:t>.</w:t>
      </w:r>
      <w:r>
        <w:t xml:space="preserve"> Indiquer, à l’aide d’un échiquier de croisement, la probabilité pour ce couple d’avoir un enfant sain.</w:t>
      </w:r>
    </w:p>
    <w:tbl>
      <w:tblPr>
        <w:tblStyle w:val="TableGrid"/>
        <w:tblW w:w="0" w:type="auto"/>
        <w:jc w:val="center"/>
        <w:tblLook w:val="04A0"/>
      </w:tblPr>
      <w:tblGrid>
        <w:gridCol w:w="1217"/>
        <w:gridCol w:w="1217"/>
        <w:gridCol w:w="1218"/>
      </w:tblGrid>
      <w:tr w:rsidR="00E71FBB" w:rsidTr="00E71FBB">
        <w:trPr>
          <w:jc w:val="center"/>
        </w:trPr>
        <w:tc>
          <w:tcPr>
            <w:tcW w:w="1217" w:type="dxa"/>
            <w:tcBorders>
              <w:tl2br w:val="single" w:sz="4" w:space="0" w:color="auto"/>
            </w:tcBorders>
            <w:vAlign w:val="center"/>
          </w:tcPr>
          <w:p w:rsidR="00E71FBB" w:rsidRDefault="00E71FBB" w:rsidP="00E71FBB">
            <w:pPr>
              <w:spacing w:line="264" w:lineRule="auto"/>
              <w:jc w:val="right"/>
            </w:pPr>
            <w:r>
              <w:t>Père</w:t>
            </w:r>
          </w:p>
          <w:p w:rsidR="00E71FBB" w:rsidRDefault="00E71FBB" w:rsidP="00E71FBB">
            <w:pPr>
              <w:spacing w:line="264" w:lineRule="auto"/>
            </w:pPr>
            <w:r>
              <w:t>Mère</w:t>
            </w:r>
          </w:p>
        </w:tc>
        <w:tc>
          <w:tcPr>
            <w:tcW w:w="1217" w:type="dxa"/>
            <w:vAlign w:val="center"/>
          </w:tcPr>
          <w:p w:rsidR="00E71FBB" w:rsidRDefault="00E71FBB" w:rsidP="00E71FBB">
            <w:pPr>
              <w:spacing w:after="120" w:line="264" w:lineRule="auto"/>
              <w:jc w:val="center"/>
            </w:pPr>
            <w:r>
              <w:t>S</w:t>
            </w:r>
          </w:p>
        </w:tc>
        <w:tc>
          <w:tcPr>
            <w:tcW w:w="1218" w:type="dxa"/>
            <w:vAlign w:val="center"/>
          </w:tcPr>
          <w:p w:rsidR="00E71FBB" w:rsidRDefault="00E71FBB" w:rsidP="00E71FBB">
            <w:pPr>
              <w:spacing w:after="120" w:line="264" w:lineRule="auto"/>
              <w:jc w:val="center"/>
            </w:pPr>
            <w:r>
              <w:t>m</w:t>
            </w:r>
          </w:p>
        </w:tc>
      </w:tr>
      <w:tr w:rsidR="00E71FBB" w:rsidTr="00E71FBB">
        <w:trPr>
          <w:jc w:val="center"/>
        </w:trPr>
        <w:tc>
          <w:tcPr>
            <w:tcW w:w="1217" w:type="dxa"/>
            <w:vAlign w:val="center"/>
          </w:tcPr>
          <w:p w:rsidR="00E71FBB" w:rsidRDefault="00E71FBB" w:rsidP="00E71FBB">
            <w:pPr>
              <w:spacing w:line="264" w:lineRule="auto"/>
              <w:jc w:val="center"/>
            </w:pPr>
            <w:r>
              <w:t>S</w:t>
            </w:r>
          </w:p>
        </w:tc>
        <w:tc>
          <w:tcPr>
            <w:tcW w:w="1217" w:type="dxa"/>
            <w:vAlign w:val="center"/>
          </w:tcPr>
          <w:p w:rsidR="00E71FBB" w:rsidRDefault="00E71FBB" w:rsidP="00E71FBB">
            <w:pPr>
              <w:spacing w:line="264" w:lineRule="auto"/>
              <w:jc w:val="center"/>
            </w:pPr>
            <w:r>
              <w:t>S//S</w:t>
            </w:r>
          </w:p>
          <w:p w:rsidR="00E71FBB" w:rsidRDefault="00E71FBB" w:rsidP="00E71FBB">
            <w:pPr>
              <w:spacing w:line="264" w:lineRule="auto"/>
              <w:jc w:val="center"/>
            </w:pPr>
            <w:r>
              <w:t>[S]</w:t>
            </w:r>
          </w:p>
        </w:tc>
        <w:tc>
          <w:tcPr>
            <w:tcW w:w="1218" w:type="dxa"/>
            <w:vAlign w:val="center"/>
          </w:tcPr>
          <w:p w:rsidR="00E71FBB" w:rsidRDefault="00E71FBB" w:rsidP="00E71FBB">
            <w:pPr>
              <w:spacing w:line="264" w:lineRule="auto"/>
              <w:jc w:val="center"/>
            </w:pPr>
            <w:r>
              <w:t>S//m</w:t>
            </w:r>
          </w:p>
          <w:p w:rsidR="00E71FBB" w:rsidRDefault="00E71FBB" w:rsidP="00E71FBB">
            <w:pPr>
              <w:spacing w:line="264" w:lineRule="auto"/>
              <w:jc w:val="center"/>
            </w:pPr>
            <w:r>
              <w:t>[S]</w:t>
            </w:r>
          </w:p>
        </w:tc>
      </w:tr>
      <w:tr w:rsidR="00E71FBB" w:rsidTr="00E71FBB">
        <w:trPr>
          <w:jc w:val="center"/>
        </w:trPr>
        <w:tc>
          <w:tcPr>
            <w:tcW w:w="1217" w:type="dxa"/>
            <w:vAlign w:val="center"/>
          </w:tcPr>
          <w:p w:rsidR="00E71FBB" w:rsidRDefault="00E71FBB" w:rsidP="00E71FBB">
            <w:pPr>
              <w:spacing w:line="264" w:lineRule="auto"/>
              <w:jc w:val="center"/>
            </w:pPr>
            <w:r>
              <w:t>m</w:t>
            </w:r>
          </w:p>
        </w:tc>
        <w:tc>
          <w:tcPr>
            <w:tcW w:w="1217" w:type="dxa"/>
            <w:vAlign w:val="center"/>
          </w:tcPr>
          <w:p w:rsidR="00E71FBB" w:rsidRDefault="00E71FBB" w:rsidP="00E71FBB">
            <w:pPr>
              <w:spacing w:line="264" w:lineRule="auto"/>
              <w:jc w:val="center"/>
            </w:pPr>
            <w:r>
              <w:t>m//S</w:t>
            </w:r>
          </w:p>
          <w:p w:rsidR="00E71FBB" w:rsidRDefault="00E71FBB" w:rsidP="00E71FBB">
            <w:pPr>
              <w:spacing w:line="264" w:lineRule="auto"/>
              <w:jc w:val="center"/>
            </w:pPr>
            <w:r>
              <w:t>[S]</w:t>
            </w:r>
          </w:p>
        </w:tc>
        <w:tc>
          <w:tcPr>
            <w:tcW w:w="1218" w:type="dxa"/>
            <w:vAlign w:val="center"/>
          </w:tcPr>
          <w:p w:rsidR="00E71FBB" w:rsidRDefault="00E71FBB" w:rsidP="00E71FBB">
            <w:pPr>
              <w:spacing w:line="264" w:lineRule="auto"/>
              <w:jc w:val="center"/>
            </w:pPr>
            <w:r>
              <w:t>m//m</w:t>
            </w:r>
          </w:p>
          <w:p w:rsidR="00E71FBB" w:rsidRDefault="00E71FBB" w:rsidP="00E71FBB">
            <w:pPr>
              <w:spacing w:line="264" w:lineRule="auto"/>
              <w:jc w:val="center"/>
            </w:pPr>
            <w:r>
              <w:t>[m]</w:t>
            </w:r>
          </w:p>
        </w:tc>
      </w:tr>
    </w:tbl>
    <w:p w:rsidR="00E71FBB" w:rsidRDefault="00E71FBB" w:rsidP="00E71FBB">
      <w:pPr>
        <w:spacing w:before="120" w:after="0" w:line="264" w:lineRule="auto"/>
        <w:jc w:val="both"/>
      </w:pPr>
      <w:r>
        <w:t>D’après l’échiquier de croisement on observe que le couple de parents II1 et II2 a 75% de chance d’avoir un enfant sain.</w:t>
      </w:r>
    </w:p>
    <w:p w:rsidR="00E71FBB" w:rsidRDefault="00E71FBB"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DC1581" w:rsidRDefault="00DC1581" w:rsidP="00FA799C">
      <w:pPr>
        <w:spacing w:after="0" w:line="264" w:lineRule="auto"/>
        <w:jc w:val="both"/>
      </w:pPr>
    </w:p>
    <w:p w:rsidR="00FA799C" w:rsidRDefault="00FA799C" w:rsidP="00FA799C">
      <w:pPr>
        <w:spacing w:after="120" w:line="264" w:lineRule="auto"/>
      </w:pPr>
      <w:r>
        <w:rPr>
          <w:b/>
          <w:u w:val="single"/>
        </w:rPr>
        <w:lastRenderedPageBreak/>
        <w:t>2.5</w:t>
      </w:r>
      <w:r w:rsidRPr="00BF7050">
        <w:rPr>
          <w:b/>
        </w:rPr>
        <w:t>.</w:t>
      </w:r>
      <w:r>
        <w:t xml:space="preserve"> Construire un schéma présentant les organes et les mécanismes de la régulation de la glycémie par l’insuline.</w:t>
      </w:r>
    </w:p>
    <w:p w:rsidR="001218F5" w:rsidRDefault="001218F5" w:rsidP="001218F5">
      <w:pPr>
        <w:spacing w:after="120" w:line="264" w:lineRule="auto"/>
        <w:jc w:val="center"/>
      </w:pPr>
      <w:r w:rsidRPr="001218F5">
        <w:rPr>
          <w:noProof/>
          <w:lang w:eastAsia="fr-FR"/>
        </w:rPr>
        <w:drawing>
          <wp:inline distT="0" distB="0" distL="0" distR="0">
            <wp:extent cx="4856624" cy="3533775"/>
            <wp:effectExtent l="19050" t="0" r="1126"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29575" cy="5830907"/>
                      <a:chOff x="683568" y="620688"/>
                      <a:chExt cx="8029575" cy="5830907"/>
                    </a:xfrm>
                  </a:grpSpPr>
                  <a:grpSp>
                    <a:nvGrpSpPr>
                      <a:cNvPr id="6" name="Group 5"/>
                      <a:cNvGrpSpPr/>
                    </a:nvGrpSpPr>
                    <a:grpSpPr>
                      <a:xfrm>
                        <a:off x="683568" y="620688"/>
                        <a:ext cx="8029575" cy="5830907"/>
                        <a:chOff x="683568" y="620688"/>
                        <a:chExt cx="8029575" cy="5830907"/>
                      </a:xfrm>
                    </a:grpSpPr>
                    <a:pic>
                      <a:nvPicPr>
                        <a:cNvPr id="1026" name="Picture 2" descr="La régulation de la glycémie"/>
                        <a:cNvPicPr>
                          <a:picLocks noChangeAspect="1" noChangeArrowheads="1"/>
                        </a:cNvPicPr>
                      </a:nvPicPr>
                      <a:blipFill>
                        <a:blip r:embed="rId8"/>
                        <a:srcRect/>
                        <a:stretch>
                          <a:fillRect/>
                        </a:stretch>
                      </a:blipFill>
                      <a:spPr bwMode="auto">
                        <a:xfrm>
                          <a:off x="683568" y="620688"/>
                          <a:ext cx="8029575" cy="5162550"/>
                        </a:xfrm>
                        <a:prstGeom prst="rect">
                          <a:avLst/>
                        </a:prstGeom>
                        <a:noFill/>
                      </a:spPr>
                    </a:pic>
                    <a:sp>
                      <a:nvSpPr>
                        <a:cNvPr id="5" name="TextBox 4"/>
                        <a:cNvSpPr txBox="1"/>
                      </a:nvSpPr>
                      <a:spPr>
                        <a:xfrm>
                          <a:off x="1554706" y="5805264"/>
                          <a:ext cx="6287299" cy="646331"/>
                        </a:xfrm>
                        <a:prstGeom prst="rect">
                          <a:avLst/>
                        </a:prstGeom>
                        <a:noFill/>
                      </a:spPr>
                      <a:txSp>
                        <a:txBody>
                          <a:bodyPr wrap="none" rtlCol="0">
                            <a:spAutoFit/>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fr-FR" dirty="0" smtClean="0"/>
                              <a:t>Stockage du glucose sous forme de glycogène = </a:t>
                            </a:r>
                            <a:r>
                              <a:rPr lang="fr-FR" dirty="0" smtClean="0"/>
                              <a:t>glycogénogenèse</a:t>
                            </a:r>
                          </a:p>
                          <a:p>
                            <a:r>
                              <a:rPr lang="fr-FR" dirty="0" smtClean="0"/>
                              <a:t>Libération de glucose à partir du glycogène = </a:t>
                            </a:r>
                            <a:r>
                              <a:rPr lang="fr-FR" dirty="0" smtClean="0"/>
                              <a:t>glycogénolyse</a:t>
                            </a:r>
                            <a:endParaRPr lang="fr-FR" dirty="0"/>
                          </a:p>
                        </a:txBody>
                        <a:useSpRect/>
                      </a:txSp>
                    </a:sp>
                  </a:grpSp>
                </lc:lockedCanvas>
              </a:graphicData>
            </a:graphic>
          </wp:inline>
        </w:drawing>
      </w:r>
    </w:p>
    <w:p w:rsidR="001218F5" w:rsidRDefault="001218F5" w:rsidP="001218F5">
      <w:pPr>
        <w:spacing w:after="120" w:line="264" w:lineRule="auto"/>
        <w:jc w:val="both"/>
      </w:pPr>
      <w:r>
        <w:rPr>
          <w:b/>
          <w:u w:val="single"/>
        </w:rPr>
        <w:t>2.6</w:t>
      </w:r>
      <w:r w:rsidRPr="00744BD2">
        <w:rPr>
          <w:b/>
        </w:rPr>
        <w:t>.</w:t>
      </w:r>
      <w:r>
        <w:t xml:space="preserve"> Comparer les séquences nucléotidiques afin de décrire la mutation</w:t>
      </w:r>
    </w:p>
    <w:p w:rsidR="001218F5" w:rsidRDefault="001218F5" w:rsidP="001218F5">
      <w:pPr>
        <w:spacing w:after="0" w:line="264" w:lineRule="auto"/>
        <w:jc w:val="both"/>
      </w:pPr>
      <w:r>
        <w:t xml:space="preserve">Dans la séquence d’ADN de l’individu diabétique on observe qu’une adénine A </w:t>
      </w:r>
      <w:proofErr w:type="spellStart"/>
      <w:r>
        <w:t>a</w:t>
      </w:r>
      <w:proofErr w:type="spellEnd"/>
      <w:r>
        <w:t xml:space="preserve"> été remplacée par une guanine G en position 10 par rapport à l’individu sain. Il s’agit donc d’une mutation par substitution de nucléotide.</w:t>
      </w:r>
    </w:p>
    <w:p w:rsidR="00DE79B6" w:rsidRDefault="00DE79B6" w:rsidP="001218F5">
      <w:pPr>
        <w:spacing w:after="0" w:line="264" w:lineRule="auto"/>
        <w:rPr>
          <w:rFonts w:cstheme="minorHAnsi"/>
        </w:rPr>
      </w:pPr>
    </w:p>
    <w:p w:rsidR="001218F5" w:rsidRDefault="001218F5" w:rsidP="001218F5">
      <w:pPr>
        <w:spacing w:after="120" w:line="264" w:lineRule="auto"/>
        <w:jc w:val="both"/>
      </w:pPr>
      <w:r>
        <w:rPr>
          <w:b/>
          <w:u w:val="single"/>
        </w:rPr>
        <w:t>2.7</w:t>
      </w:r>
      <w:r w:rsidRPr="00744BD2">
        <w:rPr>
          <w:b/>
        </w:rPr>
        <w:t>.</w:t>
      </w:r>
      <w:r>
        <w:t xml:space="preserve"> Donner la séquence peptidique correspondant aux deux fragments d’ADN à l’aide du tableau du code génétique présenté dans le document 8. Expliquer la démarche.</w:t>
      </w:r>
    </w:p>
    <w:p w:rsidR="001218F5" w:rsidRDefault="008D592B" w:rsidP="001218F5">
      <w:pPr>
        <w:rPr>
          <w:color w:val="000000" w:themeColor="text1"/>
        </w:rPr>
      </w:pPr>
      <w:r>
        <w:rPr>
          <w:color w:val="000000" w:themeColor="text1"/>
        </w:rPr>
        <w:t xml:space="preserve">- </w:t>
      </w:r>
      <w:r w:rsidR="001218F5" w:rsidRPr="001218F5">
        <w:rPr>
          <w:color w:val="000000" w:themeColor="text1"/>
        </w:rPr>
        <w:t xml:space="preserve">1ère étape : la transcription consiste à la synthèse d’un </w:t>
      </w:r>
      <w:proofErr w:type="spellStart"/>
      <w:r w:rsidR="001218F5" w:rsidRPr="001218F5">
        <w:rPr>
          <w:color w:val="000000" w:themeColor="text1"/>
        </w:rPr>
        <w:t>ARNm</w:t>
      </w:r>
      <w:proofErr w:type="spellEnd"/>
      <w:r w:rsidR="001218F5" w:rsidRPr="001218F5">
        <w:rPr>
          <w:color w:val="000000" w:themeColor="text1"/>
        </w:rPr>
        <w:t xml:space="preserve"> à partir du brin transcrit d’ADN en respectant la règle de complémentarité des base AU, CG, GC et TA.</w:t>
      </w:r>
    </w:p>
    <w:p w:rsidR="001218F5" w:rsidRDefault="001218F5" w:rsidP="008D592B">
      <w:pPr>
        <w:spacing w:after="0"/>
        <w:ind w:firstLine="708"/>
        <w:rPr>
          <w:color w:val="000000" w:themeColor="text1"/>
        </w:rPr>
      </w:pPr>
      <w:r>
        <w:rPr>
          <w:color w:val="000000" w:themeColor="text1"/>
        </w:rPr>
        <w:t xml:space="preserve">Brin transcrit de l’ADN de l’individu diabétique : </w:t>
      </w:r>
      <w:r>
        <w:rPr>
          <w:color w:val="000000" w:themeColor="text1"/>
        </w:rPr>
        <w:tab/>
        <w:t>CTT</w:t>
      </w:r>
      <w:r w:rsidR="008D592B">
        <w:rPr>
          <w:color w:val="000000" w:themeColor="text1"/>
        </w:rPr>
        <w:t xml:space="preserve">  </w:t>
      </w:r>
      <w:r>
        <w:rPr>
          <w:color w:val="000000" w:themeColor="text1"/>
        </w:rPr>
        <w:t>GCA</w:t>
      </w:r>
      <w:r w:rsidR="008D592B">
        <w:rPr>
          <w:color w:val="000000" w:themeColor="text1"/>
        </w:rPr>
        <w:t xml:space="preserve">  </w:t>
      </w:r>
      <w:r>
        <w:rPr>
          <w:color w:val="000000" w:themeColor="text1"/>
        </w:rPr>
        <w:t>CCG</w:t>
      </w:r>
      <w:r w:rsidR="008D592B">
        <w:rPr>
          <w:color w:val="000000" w:themeColor="text1"/>
        </w:rPr>
        <w:t xml:space="preserve">  </w:t>
      </w:r>
      <w:r>
        <w:rPr>
          <w:color w:val="000000" w:themeColor="text1"/>
        </w:rPr>
        <w:t>GAA</w:t>
      </w:r>
      <w:r w:rsidR="008D592B">
        <w:rPr>
          <w:color w:val="000000" w:themeColor="text1"/>
        </w:rPr>
        <w:t xml:space="preserve">  </w:t>
      </w:r>
      <w:r>
        <w:rPr>
          <w:color w:val="000000" w:themeColor="text1"/>
        </w:rPr>
        <w:t>AAG</w:t>
      </w:r>
      <w:r w:rsidR="008D592B">
        <w:rPr>
          <w:color w:val="000000" w:themeColor="text1"/>
        </w:rPr>
        <w:t xml:space="preserve">  </w:t>
      </w:r>
      <w:r>
        <w:rPr>
          <w:color w:val="000000" w:themeColor="text1"/>
        </w:rPr>
        <w:t>ATG</w:t>
      </w:r>
    </w:p>
    <w:p w:rsidR="001218F5" w:rsidRDefault="008D592B" w:rsidP="008D592B">
      <w:pPr>
        <w:spacing w:after="0"/>
        <w:ind w:firstLine="708"/>
        <w:rPr>
          <w:color w:val="000000" w:themeColor="text1"/>
        </w:rPr>
      </w:pPr>
      <w:proofErr w:type="spellStart"/>
      <w:r>
        <w:rPr>
          <w:color w:val="000000" w:themeColor="text1"/>
        </w:rPr>
        <w:t>ARNm</w:t>
      </w:r>
      <w:proofErr w:type="spellEnd"/>
      <w:r w:rsidR="001218F5">
        <w:rPr>
          <w:color w:val="000000" w:themeColor="text1"/>
        </w:rPr>
        <w:t xml:space="preserve"> de l’individu diabétique : </w:t>
      </w:r>
      <w:r w:rsidR="001218F5">
        <w:rPr>
          <w:color w:val="000000" w:themeColor="text1"/>
        </w:rPr>
        <w:tab/>
      </w:r>
      <w:r>
        <w:rPr>
          <w:color w:val="000000" w:themeColor="text1"/>
        </w:rPr>
        <w:tab/>
      </w:r>
      <w:r>
        <w:rPr>
          <w:color w:val="000000" w:themeColor="text1"/>
        </w:rPr>
        <w:tab/>
        <w:t>GAA CGU GGC CUU  UUC  UAC</w:t>
      </w:r>
    </w:p>
    <w:p w:rsidR="008D592B" w:rsidRDefault="008D592B" w:rsidP="008D592B">
      <w:pPr>
        <w:spacing w:before="240" w:after="0"/>
        <w:ind w:firstLine="708"/>
        <w:rPr>
          <w:color w:val="000000" w:themeColor="text1"/>
        </w:rPr>
      </w:pPr>
      <w:r>
        <w:rPr>
          <w:color w:val="000000" w:themeColor="text1"/>
        </w:rPr>
        <w:t xml:space="preserve">Brin transcrit de l’ADN de l’individu non diabétique : </w:t>
      </w:r>
      <w:r>
        <w:rPr>
          <w:color w:val="000000" w:themeColor="text1"/>
        </w:rPr>
        <w:tab/>
        <w:t>CTT  GCA  CCG  AAA   AAG  ATG</w:t>
      </w:r>
    </w:p>
    <w:p w:rsidR="008D592B" w:rsidRDefault="008D592B" w:rsidP="008D592B">
      <w:pPr>
        <w:spacing w:after="0"/>
        <w:ind w:firstLine="708"/>
        <w:rPr>
          <w:color w:val="000000" w:themeColor="text1"/>
        </w:rPr>
      </w:pPr>
      <w:proofErr w:type="spellStart"/>
      <w:r>
        <w:rPr>
          <w:color w:val="000000" w:themeColor="text1"/>
        </w:rPr>
        <w:t>ARNm</w:t>
      </w:r>
      <w:proofErr w:type="spellEnd"/>
      <w:r>
        <w:rPr>
          <w:color w:val="000000" w:themeColor="text1"/>
        </w:rPr>
        <w:t xml:space="preserve"> de l’individu non diabétique : </w:t>
      </w:r>
      <w:r>
        <w:rPr>
          <w:color w:val="000000" w:themeColor="text1"/>
        </w:rPr>
        <w:tab/>
      </w:r>
      <w:r>
        <w:rPr>
          <w:color w:val="000000" w:themeColor="text1"/>
        </w:rPr>
        <w:tab/>
      </w:r>
      <w:r>
        <w:rPr>
          <w:color w:val="000000" w:themeColor="text1"/>
        </w:rPr>
        <w:tab/>
        <w:t>GAA CGU GGC  UUU  UUC  UAC</w:t>
      </w:r>
    </w:p>
    <w:p w:rsidR="001218F5" w:rsidRPr="001218F5" w:rsidRDefault="008D592B" w:rsidP="008D592B">
      <w:pPr>
        <w:spacing w:before="240"/>
        <w:rPr>
          <w:color w:val="000000" w:themeColor="text1"/>
        </w:rPr>
      </w:pPr>
      <w:r>
        <w:rPr>
          <w:color w:val="000000" w:themeColor="text1"/>
        </w:rPr>
        <w:t xml:space="preserve">- </w:t>
      </w:r>
      <w:r w:rsidR="001218F5" w:rsidRPr="001218F5">
        <w:rPr>
          <w:color w:val="000000" w:themeColor="text1"/>
        </w:rPr>
        <w:t>2</w:t>
      </w:r>
      <w:r w:rsidR="001218F5" w:rsidRPr="001218F5">
        <w:rPr>
          <w:color w:val="000000" w:themeColor="text1"/>
          <w:vertAlign w:val="superscript"/>
        </w:rPr>
        <w:t>ème</w:t>
      </w:r>
      <w:r w:rsidR="001218F5" w:rsidRPr="001218F5">
        <w:rPr>
          <w:color w:val="000000" w:themeColor="text1"/>
        </w:rPr>
        <w:t xml:space="preserve"> étape : la tra</w:t>
      </w:r>
      <w:r>
        <w:rPr>
          <w:color w:val="000000" w:themeColor="text1"/>
        </w:rPr>
        <w:t xml:space="preserve">duction </w:t>
      </w:r>
      <w:r w:rsidR="001218F5" w:rsidRPr="001218F5">
        <w:rPr>
          <w:color w:val="000000" w:themeColor="text1"/>
        </w:rPr>
        <w:t>consiste à synthétiser la protéine à partir de l’</w:t>
      </w:r>
      <w:proofErr w:type="spellStart"/>
      <w:r w:rsidR="001218F5" w:rsidRPr="001218F5">
        <w:rPr>
          <w:color w:val="000000" w:themeColor="text1"/>
        </w:rPr>
        <w:t>ARNm</w:t>
      </w:r>
      <w:proofErr w:type="spellEnd"/>
      <w:r w:rsidR="001218F5" w:rsidRPr="001218F5">
        <w:rPr>
          <w:color w:val="000000" w:themeColor="text1"/>
        </w:rPr>
        <w:t>. A chaque triplet de nucléotide de l’</w:t>
      </w:r>
      <w:proofErr w:type="spellStart"/>
      <w:r w:rsidR="001218F5" w:rsidRPr="001218F5">
        <w:rPr>
          <w:color w:val="000000" w:themeColor="text1"/>
        </w:rPr>
        <w:t>ARNm</w:t>
      </w:r>
      <w:proofErr w:type="spellEnd"/>
      <w:r w:rsidR="001218F5" w:rsidRPr="001218F5">
        <w:rPr>
          <w:color w:val="000000" w:themeColor="text1"/>
        </w:rPr>
        <w:t xml:space="preserve"> (= codon) correspond un acide aminé, la correspondance se faisant à l’aide du code génétique.</w:t>
      </w:r>
    </w:p>
    <w:p w:rsidR="008D592B" w:rsidRDefault="008D592B" w:rsidP="008D592B">
      <w:pPr>
        <w:spacing w:after="0"/>
        <w:ind w:firstLine="708"/>
        <w:rPr>
          <w:color w:val="000000" w:themeColor="text1"/>
        </w:rPr>
      </w:pPr>
      <w:proofErr w:type="spellStart"/>
      <w:r>
        <w:rPr>
          <w:color w:val="000000" w:themeColor="text1"/>
        </w:rPr>
        <w:t>ARNm</w:t>
      </w:r>
      <w:proofErr w:type="spellEnd"/>
      <w:r>
        <w:rPr>
          <w:color w:val="000000" w:themeColor="text1"/>
        </w:rPr>
        <w:t xml:space="preserve"> de l’individu diabétique : </w:t>
      </w:r>
      <w:r>
        <w:rPr>
          <w:color w:val="000000" w:themeColor="text1"/>
        </w:rPr>
        <w:tab/>
      </w:r>
      <w:r>
        <w:rPr>
          <w:color w:val="000000" w:themeColor="text1"/>
        </w:rPr>
        <w:tab/>
      </w:r>
      <w:r>
        <w:rPr>
          <w:color w:val="000000" w:themeColor="text1"/>
        </w:rPr>
        <w:tab/>
        <w:t>GAA CGU GGC CUU  UUC  UAC</w:t>
      </w:r>
    </w:p>
    <w:p w:rsidR="008D592B" w:rsidRDefault="008D592B" w:rsidP="008D592B">
      <w:pPr>
        <w:spacing w:after="0"/>
        <w:ind w:firstLine="708"/>
        <w:rPr>
          <w:color w:val="000000" w:themeColor="text1"/>
        </w:rPr>
      </w:pPr>
      <w:r>
        <w:rPr>
          <w:color w:val="000000" w:themeColor="text1"/>
        </w:rPr>
        <w:t>Séquence peptidique de l’individu diabétique :</w:t>
      </w:r>
      <w:r>
        <w:rPr>
          <w:color w:val="000000" w:themeColor="text1"/>
        </w:rPr>
        <w:tab/>
      </w:r>
      <w:r>
        <w:rPr>
          <w:color w:val="000000" w:themeColor="text1"/>
        </w:rPr>
        <w:tab/>
        <w:t>Glu-</w:t>
      </w:r>
      <w:proofErr w:type="spellStart"/>
      <w:r>
        <w:rPr>
          <w:color w:val="000000" w:themeColor="text1"/>
        </w:rPr>
        <w:t>Arg</w:t>
      </w:r>
      <w:proofErr w:type="spellEnd"/>
      <w:r>
        <w:rPr>
          <w:color w:val="000000" w:themeColor="text1"/>
        </w:rPr>
        <w:t>-</w:t>
      </w:r>
      <w:proofErr w:type="spellStart"/>
      <w:r>
        <w:rPr>
          <w:color w:val="000000" w:themeColor="text1"/>
        </w:rPr>
        <w:t>Gly</w:t>
      </w:r>
      <w:proofErr w:type="spellEnd"/>
      <w:r>
        <w:rPr>
          <w:color w:val="000000" w:themeColor="text1"/>
        </w:rPr>
        <w:t>-Leu-</w:t>
      </w:r>
      <w:proofErr w:type="spellStart"/>
      <w:r>
        <w:rPr>
          <w:color w:val="000000" w:themeColor="text1"/>
        </w:rPr>
        <w:t>Phe</w:t>
      </w:r>
      <w:proofErr w:type="spellEnd"/>
      <w:r>
        <w:rPr>
          <w:color w:val="000000" w:themeColor="text1"/>
        </w:rPr>
        <w:t>-Tyr</w:t>
      </w:r>
    </w:p>
    <w:p w:rsidR="008D592B" w:rsidRDefault="008D592B" w:rsidP="008D592B">
      <w:pPr>
        <w:spacing w:before="240" w:after="0"/>
        <w:ind w:firstLine="709"/>
        <w:rPr>
          <w:color w:val="000000" w:themeColor="text1"/>
        </w:rPr>
      </w:pPr>
      <w:proofErr w:type="spellStart"/>
      <w:r>
        <w:rPr>
          <w:color w:val="000000" w:themeColor="text1"/>
        </w:rPr>
        <w:t>ARNm</w:t>
      </w:r>
      <w:proofErr w:type="spellEnd"/>
      <w:r>
        <w:rPr>
          <w:color w:val="000000" w:themeColor="text1"/>
        </w:rPr>
        <w:t xml:space="preserve"> de l’individu non diabétique : </w:t>
      </w:r>
      <w:r>
        <w:rPr>
          <w:color w:val="000000" w:themeColor="text1"/>
        </w:rPr>
        <w:tab/>
      </w:r>
      <w:r>
        <w:rPr>
          <w:color w:val="000000" w:themeColor="text1"/>
        </w:rPr>
        <w:tab/>
      </w:r>
      <w:r>
        <w:rPr>
          <w:color w:val="000000" w:themeColor="text1"/>
        </w:rPr>
        <w:tab/>
        <w:t>GAA CGU GGC  UUU  UUC  UAC</w:t>
      </w:r>
    </w:p>
    <w:p w:rsidR="00DE79B6" w:rsidRDefault="00DE79B6" w:rsidP="00DE79B6">
      <w:pPr>
        <w:spacing w:after="0" w:line="264" w:lineRule="auto"/>
        <w:rPr>
          <w:rFonts w:cstheme="minorHAnsi"/>
        </w:rPr>
        <w:sectPr w:rsidR="00DE79B6" w:rsidSect="00DE79B6">
          <w:type w:val="continuous"/>
          <w:pgSz w:w="11906" w:h="16838"/>
          <w:pgMar w:top="851" w:right="851" w:bottom="851" w:left="851" w:header="709" w:footer="709" w:gutter="0"/>
          <w:cols w:space="708"/>
          <w:docGrid w:linePitch="360"/>
        </w:sectPr>
      </w:pPr>
    </w:p>
    <w:p w:rsidR="008D592B" w:rsidRDefault="008D592B" w:rsidP="008D592B">
      <w:pPr>
        <w:spacing w:after="0"/>
        <w:ind w:firstLine="708"/>
        <w:rPr>
          <w:color w:val="000000" w:themeColor="text1"/>
        </w:rPr>
      </w:pPr>
      <w:r>
        <w:rPr>
          <w:color w:val="000000" w:themeColor="text1"/>
        </w:rPr>
        <w:lastRenderedPageBreak/>
        <w:t>Séquence peptidique de l’individu non diabétique :</w:t>
      </w:r>
      <w:r>
        <w:rPr>
          <w:color w:val="000000" w:themeColor="text1"/>
        </w:rPr>
        <w:tab/>
        <w:t>Glu-</w:t>
      </w:r>
      <w:proofErr w:type="spellStart"/>
      <w:r>
        <w:rPr>
          <w:color w:val="000000" w:themeColor="text1"/>
        </w:rPr>
        <w:t>Arg</w:t>
      </w:r>
      <w:proofErr w:type="spellEnd"/>
      <w:r>
        <w:rPr>
          <w:color w:val="000000" w:themeColor="text1"/>
        </w:rPr>
        <w:t>-</w:t>
      </w:r>
      <w:proofErr w:type="spellStart"/>
      <w:r>
        <w:rPr>
          <w:color w:val="000000" w:themeColor="text1"/>
        </w:rPr>
        <w:t>Gly</w:t>
      </w:r>
      <w:proofErr w:type="spellEnd"/>
      <w:r>
        <w:rPr>
          <w:color w:val="000000" w:themeColor="text1"/>
        </w:rPr>
        <w:t>-</w:t>
      </w:r>
      <w:proofErr w:type="spellStart"/>
      <w:r>
        <w:rPr>
          <w:color w:val="000000" w:themeColor="text1"/>
        </w:rPr>
        <w:t>Phe</w:t>
      </w:r>
      <w:proofErr w:type="spellEnd"/>
      <w:r>
        <w:rPr>
          <w:color w:val="000000" w:themeColor="text1"/>
        </w:rPr>
        <w:t>-</w:t>
      </w:r>
      <w:proofErr w:type="spellStart"/>
      <w:r>
        <w:rPr>
          <w:color w:val="000000" w:themeColor="text1"/>
        </w:rPr>
        <w:t>Phe</w:t>
      </w:r>
      <w:proofErr w:type="spellEnd"/>
      <w:r>
        <w:rPr>
          <w:color w:val="000000" w:themeColor="text1"/>
        </w:rPr>
        <w:t>-Tyr</w:t>
      </w:r>
    </w:p>
    <w:p w:rsidR="00CB5CFD" w:rsidRDefault="00CB5CFD" w:rsidP="00CB5CFD">
      <w:pPr>
        <w:spacing w:after="0" w:line="264" w:lineRule="auto"/>
        <w:ind w:firstLine="709"/>
        <w:rPr>
          <w:rFonts w:cstheme="minorHAnsi"/>
        </w:rPr>
      </w:pPr>
    </w:p>
    <w:p w:rsidR="009B2BE5" w:rsidRDefault="009B2BE5" w:rsidP="009B2BE5">
      <w:pPr>
        <w:spacing w:after="120" w:line="264" w:lineRule="auto"/>
        <w:jc w:val="both"/>
      </w:pPr>
      <w:r>
        <w:rPr>
          <w:b/>
          <w:u w:val="single"/>
        </w:rPr>
        <w:t>2.8</w:t>
      </w:r>
      <w:r w:rsidRPr="00744BD2">
        <w:rPr>
          <w:b/>
        </w:rPr>
        <w:t>.</w:t>
      </w:r>
      <w:r>
        <w:t xml:space="preserve"> Comparer les séquences peptidiques obtenues et en déduire pourquoi les patients atteints par cette forme de diabète héréditaire présentent une hyperglycémie.</w:t>
      </w:r>
    </w:p>
    <w:p w:rsidR="009B2BE5" w:rsidRDefault="009B2BE5" w:rsidP="003E5B73">
      <w:pPr>
        <w:jc w:val="both"/>
        <w:rPr>
          <w:color w:val="000000" w:themeColor="text1"/>
        </w:rPr>
      </w:pPr>
      <w:r>
        <w:rPr>
          <w:color w:val="000000" w:themeColor="text1"/>
        </w:rPr>
        <w:t xml:space="preserve">On observe que la mutation par substitution du nucléotide n°10 dans la séquence d’ADN entraine </w:t>
      </w:r>
      <w:r w:rsidR="003E5B73">
        <w:rPr>
          <w:color w:val="000000" w:themeColor="text1"/>
        </w:rPr>
        <w:t xml:space="preserve">le changement d’un acide aminé dans la séquence peptidique avec une phénylalanine remplacée par une leucine. C’est une </w:t>
      </w:r>
      <w:r w:rsidR="003E5B73">
        <w:rPr>
          <w:color w:val="000000" w:themeColor="text1"/>
        </w:rPr>
        <w:lastRenderedPageBreak/>
        <w:t>mutation faux-</w:t>
      </w:r>
      <w:r>
        <w:rPr>
          <w:color w:val="000000" w:themeColor="text1"/>
        </w:rPr>
        <w:t xml:space="preserve">sens </w:t>
      </w:r>
      <w:r w:rsidR="003E5B73">
        <w:rPr>
          <w:color w:val="000000" w:themeColor="text1"/>
        </w:rPr>
        <w:t>qui va entrainer un changement de la conformation de l’insuline chez l’individu malade et la protéine ne pourra plus effectuer sa fonction correctement.</w:t>
      </w:r>
    </w:p>
    <w:p w:rsidR="003E5B73" w:rsidRDefault="003E5B73" w:rsidP="00273E24">
      <w:pPr>
        <w:spacing w:after="0" w:line="264" w:lineRule="auto"/>
        <w:jc w:val="both"/>
      </w:pPr>
      <w:r>
        <w:rPr>
          <w:b/>
          <w:u w:val="single"/>
        </w:rPr>
        <w:t>2.9</w:t>
      </w:r>
      <w:r w:rsidRPr="00744BD2">
        <w:rPr>
          <w:b/>
        </w:rPr>
        <w:t>.</w:t>
      </w:r>
      <w:r>
        <w:t xml:space="preserve"> </w:t>
      </w:r>
      <w:r w:rsidR="00273E24">
        <w:t>Présence de glucose dans les urines = glycosurie ; diurèse trop importante = polyurie</w:t>
      </w:r>
    </w:p>
    <w:p w:rsidR="00273E24" w:rsidRDefault="00273E24" w:rsidP="00273E24">
      <w:pPr>
        <w:spacing w:after="0" w:line="264" w:lineRule="auto"/>
        <w:jc w:val="both"/>
      </w:pPr>
    </w:p>
    <w:p w:rsidR="00273E24" w:rsidRDefault="00273E24" w:rsidP="00273E24">
      <w:pPr>
        <w:spacing w:after="120" w:line="264" w:lineRule="auto"/>
        <w:jc w:val="both"/>
      </w:pPr>
      <w:r>
        <w:rPr>
          <w:b/>
          <w:u w:val="single"/>
        </w:rPr>
        <w:t>2.10</w:t>
      </w:r>
      <w:r w:rsidRPr="00744BD2">
        <w:rPr>
          <w:b/>
        </w:rPr>
        <w:t>.</w:t>
      </w:r>
      <w:r>
        <w:t xml:space="preserve"> Présenter le lien entre l’hyperglycémie et la présence de glucose dans les urines.</w:t>
      </w:r>
    </w:p>
    <w:p w:rsidR="00273E24" w:rsidRDefault="00273E24" w:rsidP="00273E24">
      <w:pPr>
        <w:spacing w:after="120" w:line="264" w:lineRule="auto"/>
        <w:jc w:val="both"/>
      </w:pPr>
      <w:r>
        <w:t>L’insuline défectueuse ne permet plus d’induire le stockage correct du glucose dans le foie, les muscles et les tissus adipeux. Le glucose reste donc dans le sang à concentration élevée et l’organisme cherche à l’éliminer par voie urinaire grâce à la filtration du rein. On retrouve donc beaucoup de glucose dans les urines des personnes atteintes de diabète.</w:t>
      </w:r>
    </w:p>
    <w:p w:rsidR="00273E24" w:rsidRDefault="00273E24" w:rsidP="00273E24">
      <w:pPr>
        <w:spacing w:after="120" w:line="264" w:lineRule="auto"/>
        <w:jc w:val="both"/>
      </w:pPr>
      <w:r>
        <w:rPr>
          <w:b/>
          <w:u w:val="single"/>
        </w:rPr>
        <w:t>2.11</w:t>
      </w:r>
      <w:r w:rsidRPr="00744BD2">
        <w:rPr>
          <w:b/>
        </w:rPr>
        <w:t>.</w:t>
      </w:r>
      <w:r>
        <w:t xml:space="preserve"> Présenter le principe de l’angiographie.</w:t>
      </w:r>
    </w:p>
    <w:p w:rsidR="00273E24" w:rsidRDefault="00273E24" w:rsidP="00273E24">
      <w:pPr>
        <w:spacing w:after="120" w:line="264" w:lineRule="auto"/>
        <w:jc w:val="both"/>
      </w:pPr>
      <w:r>
        <w:t xml:space="preserve">L’angiographie est un </w:t>
      </w:r>
      <w:r w:rsidR="006F3CA2">
        <w:t>examen d’imagerie médicale des vaisseaux sanguins qui utilise la radiographie après injection d’un produit de contraste radio-opaque. Après injection dans le vaisseau à étudier, différents clichés sont pris à l’aide de rayons X. Les rayons sont absorbés par le produit opaque et le sang apparait donc par contraste en clair (opacité). Cet examen permet donc d’observer les sténoses qui correspondent au rétrécissement de vaisseaux sanguins entrainant une diminution de l’irrigation.</w:t>
      </w:r>
    </w:p>
    <w:p w:rsidR="006F3CA2" w:rsidRPr="00744BD2" w:rsidRDefault="006F3CA2" w:rsidP="006F3CA2">
      <w:pPr>
        <w:tabs>
          <w:tab w:val="left" w:pos="1200"/>
        </w:tabs>
        <w:spacing w:line="264" w:lineRule="auto"/>
        <w:rPr>
          <w:b/>
          <w:sz w:val="24"/>
          <w:szCs w:val="24"/>
          <w:u w:val="single"/>
        </w:rPr>
      </w:pPr>
      <w:r>
        <w:rPr>
          <w:b/>
          <w:sz w:val="24"/>
          <w:szCs w:val="24"/>
          <w:u w:val="single"/>
        </w:rPr>
        <w:t>SYNTHESE</w:t>
      </w:r>
    </w:p>
    <w:tbl>
      <w:tblPr>
        <w:tblStyle w:val="TableGrid"/>
        <w:tblW w:w="10632" w:type="dxa"/>
        <w:tblInd w:w="-176" w:type="dxa"/>
        <w:tblLook w:val="04A0"/>
      </w:tblPr>
      <w:tblGrid>
        <w:gridCol w:w="2658"/>
        <w:gridCol w:w="2658"/>
        <w:gridCol w:w="2658"/>
        <w:gridCol w:w="2658"/>
      </w:tblGrid>
      <w:tr w:rsidR="001362F1" w:rsidTr="001362F1">
        <w:tc>
          <w:tcPr>
            <w:tcW w:w="10632" w:type="dxa"/>
            <w:gridSpan w:val="4"/>
            <w:vAlign w:val="center"/>
          </w:tcPr>
          <w:p w:rsidR="001362F1" w:rsidRPr="001362F1" w:rsidRDefault="001362F1" w:rsidP="001362F1">
            <w:pPr>
              <w:spacing w:before="120" w:after="120" w:line="264" w:lineRule="auto"/>
              <w:jc w:val="center"/>
              <w:rPr>
                <w:b/>
              </w:rPr>
            </w:pPr>
            <w:r>
              <w:rPr>
                <w:b/>
              </w:rPr>
              <w:t>LA TRISOMIE</w:t>
            </w:r>
            <w:r w:rsidRPr="001362F1">
              <w:rPr>
                <w:b/>
              </w:rPr>
              <w:t xml:space="preserve"> 21</w:t>
            </w:r>
          </w:p>
        </w:tc>
      </w:tr>
      <w:tr w:rsidR="001362F1" w:rsidTr="001362F1">
        <w:tc>
          <w:tcPr>
            <w:tcW w:w="2658" w:type="dxa"/>
            <w:vAlign w:val="center"/>
          </w:tcPr>
          <w:p w:rsidR="001362F1" w:rsidRPr="001362F1" w:rsidRDefault="001362F1" w:rsidP="001362F1">
            <w:pPr>
              <w:spacing w:before="120" w:after="120" w:line="264" w:lineRule="auto"/>
              <w:jc w:val="center"/>
              <w:rPr>
                <w:b/>
              </w:rPr>
            </w:pPr>
            <w:r w:rsidRPr="001362F1">
              <w:rPr>
                <w:b/>
              </w:rPr>
              <w:t>Cause</w:t>
            </w:r>
          </w:p>
        </w:tc>
        <w:tc>
          <w:tcPr>
            <w:tcW w:w="2658" w:type="dxa"/>
            <w:vAlign w:val="center"/>
          </w:tcPr>
          <w:p w:rsidR="001362F1" w:rsidRPr="001362F1" w:rsidRDefault="001362F1" w:rsidP="001362F1">
            <w:pPr>
              <w:spacing w:before="120" w:after="120" w:line="264" w:lineRule="auto"/>
              <w:jc w:val="center"/>
              <w:rPr>
                <w:b/>
              </w:rPr>
            </w:pPr>
            <w:r w:rsidRPr="001362F1">
              <w:rPr>
                <w:b/>
              </w:rPr>
              <w:t>Dépistage</w:t>
            </w:r>
          </w:p>
        </w:tc>
        <w:tc>
          <w:tcPr>
            <w:tcW w:w="2658" w:type="dxa"/>
            <w:vAlign w:val="center"/>
          </w:tcPr>
          <w:p w:rsidR="001362F1" w:rsidRPr="001362F1" w:rsidRDefault="001362F1" w:rsidP="001362F1">
            <w:pPr>
              <w:spacing w:before="120" w:after="120" w:line="264" w:lineRule="auto"/>
              <w:jc w:val="center"/>
              <w:rPr>
                <w:b/>
              </w:rPr>
            </w:pPr>
            <w:r w:rsidRPr="001362F1">
              <w:rPr>
                <w:b/>
              </w:rPr>
              <w:t>Diagnostic</w:t>
            </w:r>
          </w:p>
        </w:tc>
        <w:tc>
          <w:tcPr>
            <w:tcW w:w="2658" w:type="dxa"/>
            <w:vAlign w:val="center"/>
          </w:tcPr>
          <w:p w:rsidR="001362F1" w:rsidRPr="001362F1" w:rsidRDefault="001362F1" w:rsidP="001362F1">
            <w:pPr>
              <w:spacing w:before="120" w:after="120" w:line="264" w:lineRule="auto"/>
              <w:jc w:val="center"/>
              <w:rPr>
                <w:b/>
              </w:rPr>
            </w:pPr>
            <w:r w:rsidRPr="001362F1">
              <w:rPr>
                <w:b/>
              </w:rPr>
              <w:t>Complications potentielles</w:t>
            </w:r>
          </w:p>
        </w:tc>
      </w:tr>
      <w:tr w:rsidR="001362F1" w:rsidTr="001362F1">
        <w:tc>
          <w:tcPr>
            <w:tcW w:w="2658" w:type="dxa"/>
            <w:vAlign w:val="center"/>
          </w:tcPr>
          <w:p w:rsidR="001362F1" w:rsidRDefault="001362F1" w:rsidP="001362F1">
            <w:pPr>
              <w:spacing w:before="120" w:after="120" w:line="264" w:lineRule="auto"/>
            </w:pPr>
            <w:r>
              <w:t xml:space="preserve">- </w:t>
            </w:r>
            <w:r>
              <w:rPr>
                <w:rFonts w:cstheme="minorHAnsi"/>
                <w:color w:val="000000" w:themeColor="text1"/>
              </w:rPr>
              <w:t>P</w:t>
            </w:r>
            <w:r w:rsidRPr="00744BD2">
              <w:rPr>
                <w:rFonts w:cstheme="minorHAnsi"/>
                <w:color w:val="000000" w:themeColor="text1"/>
              </w:rPr>
              <w:t xml:space="preserve">résence d’un chromosome surnuméraire dans </w:t>
            </w:r>
            <w:r>
              <w:rPr>
                <w:rFonts w:cstheme="minorHAnsi"/>
                <w:color w:val="000000" w:themeColor="text1"/>
              </w:rPr>
              <w:t>la</w:t>
            </w:r>
            <w:r w:rsidRPr="00744BD2">
              <w:rPr>
                <w:rFonts w:cstheme="minorHAnsi"/>
                <w:color w:val="000000" w:themeColor="text1"/>
              </w:rPr>
              <w:t xml:space="preserve"> paire de chromosomes</w:t>
            </w:r>
            <w:r>
              <w:rPr>
                <w:rFonts w:cstheme="minorHAnsi"/>
                <w:color w:val="000000" w:themeColor="text1"/>
              </w:rPr>
              <w:t xml:space="preserve"> 21</w:t>
            </w:r>
          </w:p>
        </w:tc>
        <w:tc>
          <w:tcPr>
            <w:tcW w:w="2658" w:type="dxa"/>
            <w:vAlign w:val="center"/>
          </w:tcPr>
          <w:p w:rsidR="001362F1" w:rsidRDefault="001362F1" w:rsidP="001362F1">
            <w:pPr>
              <w:spacing w:before="120" w:after="120" w:line="264" w:lineRule="auto"/>
            </w:pPr>
            <w:r>
              <w:t xml:space="preserve">- Dosage de l’hormone </w:t>
            </w:r>
            <w:proofErr w:type="spellStart"/>
            <w:r>
              <w:t>gonadotrophique</w:t>
            </w:r>
            <w:proofErr w:type="spellEnd"/>
            <w:r>
              <w:t xml:space="preserve"> chorionique (</w:t>
            </w:r>
            <w:r w:rsidRPr="001362F1">
              <w:rPr>
                <w:rFonts w:cstheme="minorHAnsi"/>
              </w:rPr>
              <w:t>β</w:t>
            </w:r>
            <w:r>
              <w:t>-</w:t>
            </w:r>
            <w:proofErr w:type="spellStart"/>
            <w:r>
              <w:t>hCG</w:t>
            </w:r>
            <w:proofErr w:type="spellEnd"/>
            <w:r>
              <w:t>)</w:t>
            </w:r>
          </w:p>
          <w:p w:rsidR="001362F1" w:rsidRDefault="001362F1" w:rsidP="001362F1">
            <w:pPr>
              <w:spacing w:before="120" w:after="120" w:line="264" w:lineRule="auto"/>
            </w:pPr>
            <w:r>
              <w:t>- Dosage de la protéine plasmatique associée à la grossesse (</w:t>
            </w:r>
            <w:proofErr w:type="spellStart"/>
            <w:r>
              <w:t>PaPP</w:t>
            </w:r>
            <w:proofErr w:type="spellEnd"/>
            <w:r>
              <w:t>-A)</w:t>
            </w:r>
          </w:p>
          <w:p w:rsidR="001362F1" w:rsidRDefault="001362F1" w:rsidP="00776049">
            <w:pPr>
              <w:spacing w:before="120" w:after="120" w:line="264" w:lineRule="auto"/>
            </w:pPr>
            <w:r>
              <w:t>- Mesure de la clarté nucale sous échographie</w:t>
            </w:r>
          </w:p>
        </w:tc>
        <w:tc>
          <w:tcPr>
            <w:tcW w:w="2658" w:type="dxa"/>
            <w:vAlign w:val="center"/>
          </w:tcPr>
          <w:p w:rsidR="001362F1" w:rsidRDefault="00776049" w:rsidP="001362F1">
            <w:pPr>
              <w:spacing w:before="120" w:after="120" w:line="264" w:lineRule="auto"/>
              <w:jc w:val="center"/>
            </w:pPr>
            <w:r>
              <w:t>- Vérification du caryotype après amniocentèse sous contrôle échographique</w:t>
            </w:r>
          </w:p>
        </w:tc>
        <w:tc>
          <w:tcPr>
            <w:tcW w:w="2658" w:type="dxa"/>
            <w:vAlign w:val="center"/>
          </w:tcPr>
          <w:p w:rsidR="00776049" w:rsidRDefault="00776049" w:rsidP="00776049">
            <w:pPr>
              <w:spacing w:before="120" w:after="120" w:line="264" w:lineRule="auto"/>
            </w:pPr>
            <w:r>
              <w:t>- Les personnes porteuses de la trisomie 21 ont plus de chance de développer une leucémie</w:t>
            </w:r>
          </w:p>
          <w:p w:rsidR="001362F1" w:rsidRDefault="00776049" w:rsidP="00776049">
            <w:pPr>
              <w:spacing w:before="120" w:after="120" w:line="264" w:lineRule="auto"/>
            </w:pPr>
            <w:r>
              <w:t>- 1 à 2 % des personnes porteuses de la trisomie 21 souffrent d’une forme de diabète héréditaire qui va entraîner une hyperglycémie, une glycosurie et une diurèse</w:t>
            </w:r>
          </w:p>
        </w:tc>
      </w:tr>
    </w:tbl>
    <w:p w:rsidR="00273E24" w:rsidRDefault="00273E24" w:rsidP="00273E24">
      <w:pPr>
        <w:spacing w:after="120" w:line="264" w:lineRule="auto"/>
        <w:jc w:val="both"/>
      </w:pPr>
    </w:p>
    <w:p w:rsidR="00057715" w:rsidRPr="00057715" w:rsidRDefault="00057715" w:rsidP="00057715">
      <w:pPr>
        <w:spacing w:after="0" w:line="264" w:lineRule="auto"/>
        <w:rPr>
          <w:rFonts w:cstheme="minorHAnsi"/>
          <w:color w:val="000000" w:themeColor="text1"/>
        </w:rPr>
      </w:pPr>
    </w:p>
    <w:sectPr w:rsidR="00057715" w:rsidRPr="00057715" w:rsidSect="0063694F">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F84" w:rsidRDefault="007B7F84" w:rsidP="00DC1581">
      <w:pPr>
        <w:spacing w:after="0" w:line="240" w:lineRule="auto"/>
      </w:pPr>
      <w:r>
        <w:separator/>
      </w:r>
    </w:p>
  </w:endnote>
  <w:endnote w:type="continuationSeparator" w:id="0">
    <w:p w:rsidR="007B7F84" w:rsidRDefault="007B7F84" w:rsidP="00DC15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282"/>
      <w:docPartObj>
        <w:docPartGallery w:val="Page Numbers (Bottom of Page)"/>
        <w:docPartUnique/>
      </w:docPartObj>
    </w:sdtPr>
    <w:sdtContent>
      <w:p w:rsidR="00DC1581" w:rsidRDefault="00DC1581">
        <w:pPr>
          <w:pStyle w:val="Footer"/>
          <w:jc w:val="right"/>
        </w:pPr>
        <w:fldSimple w:instr=" PAGE   \* MERGEFORMAT ">
          <w:r w:rsidR="00776049">
            <w:rPr>
              <w:noProof/>
            </w:rPr>
            <w:t>6</w:t>
          </w:r>
        </w:fldSimple>
      </w:p>
    </w:sdtContent>
  </w:sdt>
  <w:p w:rsidR="00DC1581" w:rsidRDefault="00DC15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F84" w:rsidRDefault="007B7F84" w:rsidP="00DC1581">
      <w:pPr>
        <w:spacing w:after="0" w:line="240" w:lineRule="auto"/>
      </w:pPr>
      <w:r>
        <w:separator/>
      </w:r>
    </w:p>
  </w:footnote>
  <w:footnote w:type="continuationSeparator" w:id="0">
    <w:p w:rsidR="007B7F84" w:rsidRDefault="007B7F84" w:rsidP="00DC15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05D9"/>
    <w:multiLevelType w:val="hybridMultilevel"/>
    <w:tmpl w:val="BEB49766"/>
    <w:lvl w:ilvl="0" w:tplc="032C1BF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B7353"/>
    <w:rsid w:val="00057715"/>
    <w:rsid w:val="001038B2"/>
    <w:rsid w:val="001218F5"/>
    <w:rsid w:val="001362F1"/>
    <w:rsid w:val="001B4F76"/>
    <w:rsid w:val="001D51B5"/>
    <w:rsid w:val="00273E24"/>
    <w:rsid w:val="00322000"/>
    <w:rsid w:val="0033149E"/>
    <w:rsid w:val="003E5B73"/>
    <w:rsid w:val="004D627A"/>
    <w:rsid w:val="0059669F"/>
    <w:rsid w:val="005F4111"/>
    <w:rsid w:val="0063694F"/>
    <w:rsid w:val="006D0AF9"/>
    <w:rsid w:val="006F3CA2"/>
    <w:rsid w:val="007150F2"/>
    <w:rsid w:val="00744BD2"/>
    <w:rsid w:val="007543AC"/>
    <w:rsid w:val="00776049"/>
    <w:rsid w:val="007B7F84"/>
    <w:rsid w:val="0081672C"/>
    <w:rsid w:val="00827CC3"/>
    <w:rsid w:val="008456DF"/>
    <w:rsid w:val="00855316"/>
    <w:rsid w:val="00870980"/>
    <w:rsid w:val="008B7353"/>
    <w:rsid w:val="008C778C"/>
    <w:rsid w:val="008D592B"/>
    <w:rsid w:val="00927252"/>
    <w:rsid w:val="00931C72"/>
    <w:rsid w:val="00935958"/>
    <w:rsid w:val="009B2BE5"/>
    <w:rsid w:val="00B44B18"/>
    <w:rsid w:val="00B555F2"/>
    <w:rsid w:val="00BC0934"/>
    <w:rsid w:val="00BF7050"/>
    <w:rsid w:val="00CB5CFD"/>
    <w:rsid w:val="00DA3CD7"/>
    <w:rsid w:val="00DC1581"/>
    <w:rsid w:val="00DE79B6"/>
    <w:rsid w:val="00E60AF8"/>
    <w:rsid w:val="00E71FBB"/>
    <w:rsid w:val="00ED43D6"/>
    <w:rsid w:val="00EE58E3"/>
    <w:rsid w:val="00F94041"/>
    <w:rsid w:val="00FA799C"/>
    <w:rsid w:val="00FD2799"/>
    <w:rsid w:val="00FE33F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BD2"/>
    <w:pPr>
      <w:ind w:left="720"/>
      <w:contextualSpacing/>
    </w:pPr>
  </w:style>
  <w:style w:type="table" w:styleId="TableGrid">
    <w:name w:val="Table Grid"/>
    <w:basedOn w:val="TableNormal"/>
    <w:uiPriority w:val="59"/>
    <w:rsid w:val="009359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2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8F5"/>
    <w:rPr>
      <w:rFonts w:ascii="Tahoma" w:hAnsi="Tahoma" w:cs="Tahoma"/>
      <w:sz w:val="16"/>
      <w:szCs w:val="16"/>
    </w:rPr>
  </w:style>
  <w:style w:type="paragraph" w:styleId="Header">
    <w:name w:val="header"/>
    <w:basedOn w:val="Normal"/>
    <w:link w:val="HeaderChar"/>
    <w:uiPriority w:val="99"/>
    <w:semiHidden/>
    <w:unhideWhenUsed/>
    <w:rsid w:val="00DC158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C1581"/>
  </w:style>
  <w:style w:type="paragraph" w:styleId="Footer">
    <w:name w:val="footer"/>
    <w:basedOn w:val="Normal"/>
    <w:link w:val="FooterChar"/>
    <w:uiPriority w:val="99"/>
    <w:unhideWhenUsed/>
    <w:rsid w:val="00DC158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5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6</Pages>
  <Words>2268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Vanille Greiner</dc:creator>
  <cp:lastModifiedBy>Vanille Greiner</cp:lastModifiedBy>
  <cp:revision>28</cp:revision>
  <dcterms:created xsi:type="dcterms:W3CDTF">2022-03-20T16:17:00Z</dcterms:created>
  <dcterms:modified xsi:type="dcterms:W3CDTF">2022-03-21T19:06:00Z</dcterms:modified>
</cp:coreProperties>
</file>